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子刊！中国医学科学院血液学研究所一研究被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11:47:11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9962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p53-PUMA axis suppresses iPSC generation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p53-PUMA </w:t>
      </w:r>
      <w:r>
        <w:rPr>
          <w:rStyle w:val="any"/>
          <w:rFonts w:ascii="PMingLiU" w:eastAsia="PMingLiU" w:hAnsi="PMingLiU" w:cs="PMingLiU"/>
          <w:spacing w:val="8"/>
        </w:rPr>
        <w:t>轴抑制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iPSC 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Yanxin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Tao Cheng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匹兹堡大学医学院放射肿瘤系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6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1862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473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56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28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4213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6429096795815939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2&amp;idx=1&amp;sn=9c4f288894785eb59860840c6471fc45&amp;chksm=c32a15cc7dc3b2f14321c25b5863d2c9835419a9aacf8dc19ecac9878202967e3e9b87f944bd&amp;scene=126&amp;sessionid=174318047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