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第三方参与？山东大学齐鲁医院骨科专家论文被质疑图片与他人雷同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11:32:23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8107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54271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2020年10月，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Drug Design, Development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Resveratrol Protects Osteoblasts Against Dexamethasone-Induced Cytotoxicity Through Activation of AMP-Activated Protein Kinase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白藜芦醇通过激活 AMP 激活蛋白激酶保护成骨细胞免受地塞米松诱导的细胞毒性损伤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这项工作得到了济南市科技计划项目（资助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201805042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）和临沂市科技创新发展计划项目（资助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201919058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Liang Wang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山东大学齐鲁医院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Yunzhen Chen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（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音译：陈允震）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7948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9484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79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  <w:u w:val="single" w:color="000000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  <w:u w:val="single" w:color="000000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u w:val="single" w:color="000000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这篇论文中的两幅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FACS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图似乎与另一篇论文中的相同，但我没有看到共同的作者或所属单位。值得关注的是，后一篇论文中的图谱分辨率比前一篇论文中的高，这表明可能有共同的第三方参与其中。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1D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，《药物设计、开发与治疗》（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2020 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10.2147/dddt.s266502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  <w:shd w:val="clear" w:color="auto" w:fill="FFFFFF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 xml:space="preserve"> 2A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Oncology Letters (2018)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10.3892/ol.2018.8486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，在此讨论：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40" w:line="360" w:lineRule="atLeast"/>
        <w:ind w:left="720" w:right="72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https://pubpeer.com/publications/438100E7087A891E84E5C05D643608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10287000" cy="421957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6632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https://pubpeer.com/publications/F0F0569320AA144D53689ED08B38F7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上海交通大学医学院附属新华医院妇产科研究：同一只小鼠跨组使用引发热议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厦门大学附属翔安医院，宁波市医疗中心李惠利医院合作研究被指多处图片重叠与克隆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873&amp;idx=1&amp;sn=5a5a332536e5e553616a469db0ceaa34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914&amp;idx=1&amp;sn=f2421b6bcf3f228868d51e69904ab890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2116&amp;idx=2&amp;sn=0c61f3b69bcf1a0b3a3a206a4f6b872b&amp;chksm=c07d7440e46cab0209a2d1b6b0d89c16f80f812e0d9dbe611e9818f39f686780d7c2e15c1f2f&amp;scene=126&amp;sessionid=174321923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