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2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84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52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01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29546ef169648701ad0519fefd99942590c40f84587564706b7773e65f7f97b4b948adbcf3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