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79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591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02d2a0ffaf31d0b31db31481db2977d37df2a071e68db5767aaad0c0feb869807abd077943&amp;scene=126&amp;sessionid=17431823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