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科学研究的灰色地带：武汉大学国际合作项目遭遇学术质疑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13:00:37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》期刊发表了一篇引起学术界广泛关注的研究论文，题为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“Tumor heterogeneity in VHL drives metastasis in clear cell renal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。该研究由多位国际学者联合完成，包括武汉大学医学部常务副部长、样本库副主任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 Xu(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和加州大学洛杉矶分校的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Lily Wu(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等人。研究探讨了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VHL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基因在透明细胞肾细胞癌转移中的作用。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5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研究背景与质疑声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尽管该研究论文的主题具有重要的临床意义，但近期有评论人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Valeriana Asarifolia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指出，论文中所呈现的结果与早前的研究图像存在重复之处。这一指责引发了对研究真实性的质疑，并引起了学术界的广泛讨论。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69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质疑焦点：重复与相似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评论人指出，论文中几个关键数据图像与此前的研究结果相比，表现出比预期更高的相似性。这样的相似性不仅让人对研究的独创性产生疑问，也可能影响到该领域的进一步研究。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6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9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https://pubpeer.com/publications/65714528E810C1833618C7BF0E4E19#3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83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44&amp;idx=1&amp;sn=e6e3993a2b429b9f36abe86fb94cc377&amp;chksm=c59c93eb306ab6ea7f4d8dff6e96e837457906f353a0114ab0530f599d7f2405e7d579b0f9d8&amp;scene=126&amp;sessionid=17431818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