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北京理工大学化工学院发表在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上的论文图片重复被质疑，作者暂未回应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17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1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89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8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9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Nat Commun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“Membrane adsorbers with ultrahigh metal-organic framework loading for high flux separations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（具有超高金属有机骨架负载的膜吸附器，用于高通量分离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第一作者：北京理工大学化工学院的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Hang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（音译：王航）；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北京理工大学化工学院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Bo Peng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（音译：王博）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9418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10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96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1776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27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06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4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Wang H, Zhao S, Liu Y, Yao R, Wang X, Cao Y, Ma D, Zou M, Cao A, Feng X, Wang B. Membrane adsorbers with ultrahigh metal-organic framework loading for high flux separations. Nat Commun. 2019 Sep 16;10(1):4204. doi: 10.1038/s41467-019-12114-8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22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14.7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31527592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PMC6746862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10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62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1&amp;idx=1&amp;sn=6e6f345570629e103cd8e07bf7ae4805&amp;chksm=c045208b8b1f7620639e92c9a1d7c6d866e52c2019fb792a5a0a468bea3f21a8a64de7488d9d&amp;scene=126&amp;sessionid=17431824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