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江南大学谷物发酵技术国家工程实验室赵运英团队论文研究图疑似处理不当，作者紧急纠错！</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学术荟萃</w:t>
        </w:r>
      </w:hyperlink>
      <w:bookmarkEnd w:id="0"/>
      <w:r>
        <w:rPr>
          <w:rStyle w:val="richmediametalistem"/>
          <w:rFonts w:ascii="Times New Roman" w:eastAsia="Times New Roman" w:hAnsi="Times New Roman" w:cs="Times New Roman"/>
          <w:color w:val="A5A5A5"/>
          <w:spacing w:val="8"/>
          <w:sz w:val="23"/>
          <w:szCs w:val="23"/>
        </w:rPr>
        <w:t>2025-03-28 09:30:00</w:t>
      </w:r>
      <w:r>
        <w:rPr>
          <w:rStyle w:val="richmediametalistem"/>
          <w:rFonts w:ascii="PMingLiU" w:eastAsia="PMingLiU" w:hAnsi="PMingLiU" w:cs="PMingLiU"/>
          <w:color w:val="A5A5A5"/>
          <w:spacing w:val="8"/>
          <w:sz w:val="23"/>
          <w:szCs w:val="23"/>
        </w:rPr>
        <w:t>山东</w:t>
      </w:r>
    </w:p>
    <w:p>
      <w:pP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606251"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标题：</w:t>
      </w:r>
      <w:r>
        <w:rPr>
          <w:rStyle w:val="any"/>
          <w:rFonts w:ascii="Times New Roman" w:eastAsia="Times New Roman" w:hAnsi="Times New Roman" w:cs="Times New Roman"/>
          <w:b/>
          <w:bCs/>
          <w:color w:val="FF6827"/>
          <w:spacing w:val="8"/>
          <w:sz w:val="21"/>
          <w:szCs w:val="21"/>
        </w:rPr>
        <w:t>Genome-wide identification for genes involved in sodium dodecyl sulfate toxicity in Saccharomyces cerevisiae</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日期：</w:t>
      </w:r>
      <w:r>
        <w:rPr>
          <w:rStyle w:val="any"/>
          <w:rFonts w:ascii="Times New Roman" w:eastAsia="Times New Roman" w:hAnsi="Times New Roman" w:cs="Times New Roman"/>
          <w:b w:val="0"/>
          <w:bCs w:val="0"/>
          <w:spacing w:val="8"/>
          <w:sz w:val="21"/>
          <w:szCs w:val="21"/>
        </w:rPr>
        <w:t>2020</w:t>
      </w:r>
      <w:r>
        <w:rPr>
          <w:rStyle w:val="any"/>
          <w:rFonts w:ascii="PMingLiU" w:eastAsia="PMingLiU" w:hAnsi="PMingLiU" w:cs="PMingLiU"/>
          <w:b w:val="0"/>
          <w:bCs w:val="0"/>
          <w:spacing w:val="8"/>
          <w:sz w:val="21"/>
          <w:szCs w:val="21"/>
        </w:rPr>
        <w:t>年</w:t>
      </w:r>
      <w:r>
        <w:rPr>
          <w:rStyle w:val="any"/>
          <w:rFonts w:ascii="Times New Roman" w:eastAsia="Times New Roman" w:hAnsi="Times New Roman" w:cs="Times New Roman"/>
          <w:b w:val="0"/>
          <w:bCs w:val="0"/>
          <w:spacing w:val="8"/>
          <w:sz w:val="21"/>
          <w:szCs w:val="21"/>
        </w:rPr>
        <w:t>2</w:t>
      </w:r>
      <w:r>
        <w:rPr>
          <w:rStyle w:val="any"/>
          <w:rFonts w:ascii="PMingLiU" w:eastAsia="PMingLiU" w:hAnsi="PMingLiU" w:cs="PMingLiU"/>
          <w:b w:val="0"/>
          <w:bCs w:val="0"/>
          <w:spacing w:val="8"/>
          <w:sz w:val="21"/>
          <w:szCs w:val="21"/>
        </w:rPr>
        <w:t>月</w:t>
      </w:r>
      <w:r>
        <w:rPr>
          <w:rStyle w:val="any"/>
          <w:rFonts w:ascii="Times New Roman" w:eastAsia="Times New Roman" w:hAnsi="Times New Roman" w:cs="Times New Roman"/>
          <w:b w:val="0"/>
          <w:bCs w:val="0"/>
          <w:spacing w:val="8"/>
          <w:sz w:val="21"/>
          <w:szCs w:val="21"/>
        </w:rPr>
        <w:t>17</w:t>
      </w:r>
      <w:r>
        <w:rPr>
          <w:rStyle w:val="any"/>
          <w:rFonts w:ascii="PMingLiU" w:eastAsia="PMingLiU" w:hAnsi="PMingLiU" w:cs="PMingLiU"/>
          <w:b w:val="0"/>
          <w:bCs w:val="0"/>
          <w:spacing w:val="8"/>
          <w:sz w:val="21"/>
          <w:szCs w:val="21"/>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单位与作者：</w:t>
      </w:r>
      <w:r>
        <w:rPr>
          <w:rStyle w:val="any"/>
          <w:rFonts w:ascii="PMingLiU" w:eastAsia="PMingLiU" w:hAnsi="PMingLiU" w:cs="PMingLiU"/>
          <w:spacing w:val="8"/>
          <w:sz w:val="21"/>
          <w:szCs w:val="21"/>
        </w:rPr>
        <w:t>江南大学谷物发酵技术国家工程实验室</w:t>
      </w:r>
      <w:r>
        <w:rPr>
          <w:rStyle w:val="any"/>
          <w:rFonts w:ascii="Times New Roman" w:eastAsia="Times New Roman" w:hAnsi="Times New Roman" w:cs="Times New Roman"/>
          <w:spacing w:val="8"/>
          <w:sz w:val="21"/>
          <w:szCs w:val="21"/>
        </w:rPr>
        <w:t xml:space="preserve"> Chunlei Cao</w:t>
      </w:r>
      <w:r>
        <w:rPr>
          <w:rStyle w:val="any"/>
          <w:rFonts w:ascii="PMingLiU" w:eastAsia="PMingLiU" w:hAnsi="PMingLiU" w:cs="PMingLiU"/>
          <w:spacing w:val="8"/>
          <w:sz w:val="21"/>
          <w:szCs w:val="21"/>
        </w:rPr>
        <w:t>、</w:t>
      </w:r>
      <w:r>
        <w:rPr>
          <w:rStyle w:val="any"/>
          <w:rFonts w:ascii="Times New Roman" w:eastAsia="Times New Roman" w:hAnsi="Times New Roman" w:cs="Times New Roman"/>
          <w:spacing w:val="8"/>
          <w:sz w:val="21"/>
          <w:szCs w:val="21"/>
        </w:rPr>
        <w:t>Yunying Zhao(</w:t>
      </w:r>
      <w:r>
        <w:rPr>
          <w:rStyle w:val="any"/>
          <w:rFonts w:ascii="PMingLiU" w:eastAsia="PMingLiU" w:hAnsi="PMingLiU" w:cs="PMingLiU"/>
          <w:spacing w:val="8"/>
          <w:sz w:val="21"/>
          <w:szCs w:val="21"/>
        </w:rPr>
        <w:t>通讯作者</w:t>
      </w:r>
      <w:r>
        <w:rPr>
          <w:rStyle w:val="any"/>
          <w:rFonts w:ascii="Times New Roman" w:eastAsia="Times New Roman" w:hAnsi="Times New Roman" w:cs="Times New Roman"/>
          <w:spacing w:val="8"/>
          <w:sz w:val="21"/>
          <w:szCs w:val="21"/>
        </w:rPr>
        <w:t xml:space="preserve"> </w:t>
      </w:r>
      <w:r>
        <w:rPr>
          <w:rStyle w:val="any"/>
          <w:rFonts w:ascii="PMingLiU" w:eastAsia="PMingLiU" w:hAnsi="PMingLiU" w:cs="PMingLiU"/>
          <w:spacing w:val="8"/>
          <w:sz w:val="21"/>
          <w:szCs w:val="21"/>
        </w:rPr>
        <w:t>音译</w:t>
      </w:r>
      <w:r>
        <w:rPr>
          <w:rStyle w:val="any"/>
          <w:rFonts w:ascii="Times New Roman" w:eastAsia="Times New Roman" w:hAnsi="Times New Roman" w:cs="Times New Roman"/>
          <w:spacing w:val="8"/>
          <w:sz w:val="21"/>
          <w:szCs w:val="21"/>
        </w:rPr>
        <w:t xml:space="preserve"> </w:t>
      </w:r>
      <w:r>
        <w:rPr>
          <w:rStyle w:val="any"/>
          <w:rFonts w:ascii="PMingLiU" w:eastAsia="PMingLiU" w:hAnsi="PMingLiU" w:cs="PMingLiU"/>
          <w:spacing w:val="8"/>
          <w:sz w:val="21"/>
          <w:szCs w:val="21"/>
        </w:rPr>
        <w:t>赵运英</w:t>
      </w:r>
      <w:r>
        <w:rPr>
          <w:rStyle w:val="any"/>
          <w:rFonts w:ascii="Times New Roman" w:eastAsia="Times New Roman" w:hAnsi="Times New Roman" w:cs="Times New Roman"/>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期刊：</w:t>
      </w:r>
      <w:r>
        <w:rPr>
          <w:rStyle w:val="any"/>
          <w:rFonts w:ascii="Times New Roman" w:eastAsia="Times New Roman" w:hAnsi="Times New Roman" w:cs="Times New Roman"/>
          <w:b/>
          <w:bCs/>
          <w:i/>
          <w:iCs/>
          <w:spacing w:val="8"/>
          <w:sz w:val="21"/>
          <w:szCs w:val="21"/>
        </w:rPr>
        <w:t>BMC Microbiology</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5133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012665" name=""/>
                    <pic:cNvPicPr>
                      <a:picLocks noChangeAspect="1"/>
                    </pic:cNvPicPr>
                  </pic:nvPicPr>
                  <pic:blipFill>
                    <a:blip xmlns:r="http://schemas.openxmlformats.org/officeDocument/2006/relationships" r:embed="rId7"/>
                    <a:stretch>
                      <a:fillRect/>
                    </a:stretch>
                  </pic:blipFill>
                  <pic:spPr>
                    <a:xfrm>
                      <a:off x="0" y="0"/>
                      <a:ext cx="5486400" cy="451334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846452"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图像重复问题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 w:line="368" w:lineRule="atLeast"/>
        <w:ind w:left="300" w:right="30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#1 </w:t>
      </w:r>
      <w:r>
        <w:rPr>
          <w:rStyle w:val="any"/>
          <w:rFonts w:ascii="Times New Roman" w:eastAsia="Times New Roman" w:hAnsi="Times New Roman" w:cs="Times New Roman"/>
          <w:b/>
          <w:bCs/>
          <w:spacing w:val="8"/>
          <w:sz w:val="21"/>
          <w:szCs w:val="21"/>
        </w:rPr>
        <w:t> </w:t>
      </w:r>
      <w:r>
        <w:rPr>
          <w:rStyle w:val="any"/>
          <w:rFonts w:ascii="PMingLiU" w:eastAsia="PMingLiU" w:hAnsi="PMingLiU" w:cs="PMingLiU"/>
          <w:b/>
          <w:bCs/>
          <w:spacing w:val="8"/>
          <w:sz w:val="21"/>
          <w:szCs w:val="21"/>
        </w:rPr>
        <w:t>图</w:t>
      </w:r>
      <w:r>
        <w:rPr>
          <w:rStyle w:val="any"/>
          <w:rFonts w:ascii="Times New Roman" w:eastAsia="Times New Roman" w:hAnsi="Times New Roman" w:cs="Times New Roman"/>
          <w:b/>
          <w:bCs/>
          <w:spacing w:val="8"/>
          <w:sz w:val="21"/>
          <w:szCs w:val="21"/>
        </w:rPr>
        <w:t>1</w:t>
      </w:r>
      <w:r>
        <w:rPr>
          <w:rStyle w:val="any"/>
          <w:rFonts w:ascii="PMingLiU" w:eastAsia="PMingLiU" w:hAnsi="PMingLiU" w:cs="PMingLiU"/>
          <w:b/>
          <w:bCs/>
          <w:spacing w:val="8"/>
          <w:sz w:val="21"/>
          <w:szCs w:val="21"/>
        </w:rPr>
        <w:t>中有许多奇怪的相似部分。它们似乎不是直接的图像复制；在许多情况下，它们被稍微旋转或拉伸。</w:t>
      </w:r>
    </w:p>
    <w:p>
      <w:pPr>
        <w:pStyle w:val="p"/>
        <w:pBdr>
          <w:top w:val="none" w:sz="0" w:space="0" w:color="auto"/>
          <w:left w:val="none" w:sz="0" w:space="0" w:color="auto"/>
          <w:bottom w:val="none" w:sz="0" w:space="0" w:color="auto"/>
          <w:right w:val="none" w:sz="0" w:space="0" w:color="auto"/>
        </w:pBdr>
        <w:spacing w:before="0" w:after="15" w:line="368" w:lineRule="atLeast"/>
        <w:ind w:left="300" w:right="300"/>
        <w:rPr>
          <w:rStyle w:val="any"/>
          <w:rFonts w:ascii="Times New Roman" w:eastAsia="Times New Roman" w:hAnsi="Times New Roman" w:cs="Times New Roman"/>
          <w:spacing w:val="8"/>
          <w:sz w:val="21"/>
          <w:szCs w:val="21"/>
        </w:rPr>
      </w:pPr>
    </w:p>
    <w:p>
      <w:pPr>
        <w:shd w:val="clear" w:color="auto" w:fill="FFFFFF"/>
        <w:spacing w:before="0" w:after="0" w:line="384" w:lineRule="atLeast"/>
        <w:ind w:left="300" w:right="405"/>
        <w:jc w:val="center"/>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strike w:val="0"/>
          <w:color w:val="1B1B1B"/>
          <w:spacing w:val="8"/>
          <w:u w:val="none"/>
        </w:rPr>
        <w:drawing>
          <wp:inline>
            <wp:extent cx="5486400" cy="3530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472218" name=""/>
                    <pic:cNvPicPr>
                      <a:picLocks noChangeAspect="1"/>
                    </pic:cNvPicPr>
                  </pic:nvPicPr>
                  <pic:blipFill>
                    <a:blip xmlns:r="http://schemas.openxmlformats.org/officeDocument/2006/relationships" r:embed="rId8"/>
                    <a:stretch>
                      <a:fillRect/>
                    </a:stretch>
                  </pic:blipFill>
                  <pic:spPr>
                    <a:xfrm>
                      <a:off x="0" y="0"/>
                      <a:ext cx="5486400" cy="3530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firstLine="0"/>
        <w:jc w:val="both"/>
        <w:rPr>
          <w:rStyle w:val="any"/>
          <w:rFonts w:ascii="Microsoft YaHei UI" w:eastAsia="Microsoft YaHei UI" w:hAnsi="Microsoft YaHei UI" w:cs="Microsoft YaHei UI"/>
          <w:color w:val="1B1B1B"/>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jc w:val="both"/>
        <w:rPr>
          <w:rStyle w:val="any"/>
          <w:rFonts w:ascii="Microsoft YaHei UI" w:eastAsia="Microsoft YaHei UI" w:hAnsi="Microsoft YaHei UI" w:cs="Microsoft YaHei UI"/>
          <w:color w:val="1B1B1B"/>
          <w:spacing w:val="8"/>
        </w:rPr>
      </w:pPr>
    </w:p>
    <w:p>
      <w:pPr>
        <w:shd w:val="clear" w:color="auto" w:fill="FFFFFF"/>
        <w:spacing w:before="0" w:after="0" w:line="384" w:lineRule="atLeast"/>
        <w:ind w:left="300" w:right="510"/>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150" w:after="0" w:line="288" w:lineRule="atLeast"/>
        <w:ind w:left="360" w:right="570"/>
        <w:jc w:val="both"/>
        <w:rPr>
          <w:rStyle w:val="any"/>
          <w:rFonts w:ascii="Microsoft YaHei UI" w:eastAsia="Microsoft YaHei UI" w:hAnsi="Microsoft YaHei UI" w:cs="Microsoft YaHei UI"/>
          <w:color w:val="FFFFFF"/>
          <w:spacing w:val="8"/>
          <w:sz w:val="18"/>
          <w:szCs w:val="18"/>
          <w:shd w:val="clear" w:color="auto" w:fill="F56C4A"/>
        </w:rPr>
      </w:pPr>
      <w:r>
        <w:rPr>
          <w:rStyle w:val="any"/>
          <w:rFonts w:ascii="Microsoft YaHei UI" w:eastAsia="Microsoft YaHei UI" w:hAnsi="Microsoft YaHei UI" w:cs="Microsoft YaHei UI"/>
          <w:b/>
          <w:bCs/>
          <w:color w:val="FFFFFF"/>
          <w:spacing w:val="8"/>
          <w:sz w:val="18"/>
          <w:szCs w:val="18"/>
          <w:shd w:val="clear" w:color="auto" w:fill="F56C4A"/>
        </w:rPr>
        <w:t>Part.3</w:t>
      </w:r>
    </w:p>
    <w:p>
      <w:pPr>
        <w:shd w:val="clear" w:color="auto" w:fill="FFFFFF"/>
        <w:spacing w:before="0" w:after="0" w:line="240" w:lineRule="atLeast"/>
        <w:ind w:left="300" w:right="510"/>
        <w:jc w:val="left"/>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strike w:val="0"/>
          <w:color w:val="1B1B1B"/>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65944"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jc w:val="center"/>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sz w:val="23"/>
          <w:szCs w:val="23"/>
        </w:rPr>
        <w:t>作者回应</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jc w:val="center"/>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jc w:val="center"/>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8" w:lineRule="atLeast"/>
        <w:ind w:left="300" w:right="510" w:firstLine="420"/>
        <w:jc w:val="both"/>
        <w:rPr>
          <w:rStyle w:val="any"/>
          <w:rFonts w:ascii="Microsoft YaHei UI" w:eastAsia="Microsoft YaHei UI" w:hAnsi="Microsoft YaHei UI" w:cs="Microsoft YaHei UI"/>
          <w:color w:val="1B1B1B"/>
          <w:spacing w:val="8"/>
          <w:sz w:val="21"/>
          <w:szCs w:val="21"/>
        </w:rPr>
      </w:pPr>
      <w:r>
        <w:rPr>
          <w:rStyle w:val="any"/>
          <w:rFonts w:ascii="Microsoft YaHei UI" w:eastAsia="Microsoft YaHei UI" w:hAnsi="Microsoft YaHei UI" w:cs="Microsoft YaHei UI"/>
          <w:b/>
          <w:bCs/>
          <w:color w:val="1B1B1B"/>
          <w:spacing w:val="8"/>
          <w:sz w:val="21"/>
          <w:szCs w:val="21"/>
        </w:rPr>
        <w:t>通讯作者赵运英回应：</w:t>
      </w:r>
      <w:r>
        <w:rPr>
          <w:rStyle w:val="any"/>
          <w:rFonts w:ascii="Microsoft YaHei UI" w:eastAsia="Microsoft YaHei UI" w:hAnsi="Microsoft YaHei UI" w:cs="Microsoft YaHei UI"/>
          <w:b w:val="0"/>
          <w:bCs w:val="0"/>
          <w:color w:val="1B1B1B"/>
          <w:spacing w:val="8"/>
          <w:sz w:val="21"/>
          <w:szCs w:val="21"/>
        </w:rPr>
        <w:t>我仔细审阅了论文，并发现图1中存在几处需要更正的错误，这些错误与我们的原始数据存在不符。根据我们的原始数据，ctf4/ctf4, loa1/loa1, apl2/apl2, rpl35a/tpl35a, nup84/nup84, ykl136w/ykl136w, srf1/srf1 和 bud30/bud30 这八个对十二烷基硫酸钠敏感的缺失突变体的表型被错误地放置了。图1的所有原始数据已作为附件添加。我们也已联系期刊，希望能有机会澄清这些错误。</w:t>
      </w:r>
    </w:p>
    <w:p>
      <w:pPr>
        <w:pStyle w:val="p"/>
        <w:pBdr>
          <w:top w:val="none" w:sz="0" w:space="0" w:color="auto"/>
          <w:left w:val="none" w:sz="0" w:space="0" w:color="auto"/>
          <w:bottom w:val="none" w:sz="0" w:space="0" w:color="auto"/>
          <w:right w:val="none" w:sz="0" w:space="0" w:color="auto"/>
        </w:pBdr>
        <w:shd w:val="clear" w:color="auto" w:fill="FFFFFF"/>
        <w:spacing w:before="0" w:after="0" w:line="368" w:lineRule="atLeast"/>
        <w:ind w:left="300" w:right="510"/>
        <w:jc w:val="both"/>
        <w:rPr>
          <w:rStyle w:val="any"/>
          <w:rFonts w:ascii="Microsoft YaHei UI" w:eastAsia="Microsoft YaHei UI" w:hAnsi="Microsoft YaHei UI" w:cs="Microsoft YaHei UI"/>
          <w:color w:val="1B1B1B"/>
          <w:spacing w:val="8"/>
          <w:sz w:val="21"/>
          <w:szCs w:val="21"/>
        </w:rPr>
      </w:pPr>
    </w:p>
    <w:p>
      <w:pPr>
        <w:shd w:val="clear" w:color="auto" w:fill="FFFFFF"/>
        <w:spacing w:before="0" w:after="0" w:line="368" w:lineRule="atLeast"/>
        <w:ind w:left="300" w:right="510"/>
        <w:jc w:val="center"/>
        <w:rPr>
          <w:rStyle w:val="any"/>
          <w:rFonts w:ascii="Microsoft YaHei UI" w:eastAsia="Microsoft YaHei UI" w:hAnsi="Microsoft YaHei UI" w:cs="Microsoft YaHei UI"/>
          <w:color w:val="1B1B1B"/>
          <w:spacing w:val="8"/>
          <w:sz w:val="21"/>
          <w:szCs w:val="21"/>
        </w:rPr>
      </w:pPr>
      <w:r>
        <w:rPr>
          <w:rStyle w:val="any"/>
          <w:rFonts w:ascii="Microsoft YaHei UI" w:eastAsia="Microsoft YaHei UI" w:hAnsi="Microsoft YaHei UI" w:cs="Microsoft YaHei UI"/>
          <w:strike w:val="0"/>
          <w:color w:val="1B1B1B"/>
          <w:spacing w:val="8"/>
          <w:sz w:val="21"/>
          <w:szCs w:val="21"/>
          <w:u w:val="none"/>
        </w:rPr>
        <w:drawing>
          <wp:inline>
            <wp:extent cx="5486400" cy="275844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702272" name=""/>
                    <pic:cNvPicPr>
                      <a:picLocks noChangeAspect="1"/>
                    </pic:cNvPicPr>
                  </pic:nvPicPr>
                  <pic:blipFill>
                    <a:blip xmlns:r="http://schemas.openxmlformats.org/officeDocument/2006/relationships" r:embed="rId9"/>
                    <a:stretch>
                      <a:fillRect/>
                    </a:stretch>
                  </pic:blipFill>
                  <pic:spPr>
                    <a:xfrm>
                      <a:off x="0" y="0"/>
                      <a:ext cx="5486400" cy="2758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68" w:lineRule="atLeast"/>
        <w:ind w:left="300" w:right="510" w:firstLine="420"/>
        <w:jc w:val="both"/>
        <w:rPr>
          <w:rStyle w:val="any"/>
          <w:rFonts w:ascii="Microsoft YaHei UI" w:eastAsia="Microsoft YaHei UI" w:hAnsi="Microsoft YaHei UI" w:cs="Microsoft YaHei UI"/>
          <w:color w:val="1B1B1B"/>
          <w:spacing w:val="8"/>
          <w:sz w:val="21"/>
          <w:szCs w:val="21"/>
        </w:rPr>
      </w:pPr>
    </w:p>
    <w:p>
      <w:pPr>
        <w:shd w:val="clear" w:color="auto" w:fill="FFFFFF"/>
        <w:spacing w:before="0" w:after="0" w:line="368" w:lineRule="atLeast"/>
        <w:ind w:left="300" w:right="510"/>
        <w:jc w:val="center"/>
        <w:rPr>
          <w:rStyle w:val="any"/>
          <w:rFonts w:ascii="Microsoft YaHei UI" w:eastAsia="Microsoft YaHei UI" w:hAnsi="Microsoft YaHei UI" w:cs="Microsoft YaHei UI"/>
          <w:color w:val="1B1B1B"/>
          <w:spacing w:val="8"/>
          <w:sz w:val="21"/>
          <w:szCs w:val="21"/>
        </w:rPr>
      </w:pPr>
      <w:r>
        <w:rPr>
          <w:rStyle w:val="any"/>
          <w:rFonts w:ascii="Microsoft YaHei UI" w:eastAsia="Microsoft YaHei UI" w:hAnsi="Microsoft YaHei UI" w:cs="Microsoft YaHei UI"/>
          <w:strike w:val="0"/>
          <w:color w:val="1B1B1B"/>
          <w:spacing w:val="8"/>
          <w:sz w:val="21"/>
          <w:szCs w:val="21"/>
          <w:u w:val="none"/>
        </w:rPr>
        <w:drawing>
          <wp:inline>
            <wp:extent cx="5486400" cy="301752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428377" name=""/>
                    <pic:cNvPicPr>
                      <a:picLocks noChangeAspect="1"/>
                    </pic:cNvPicPr>
                  </pic:nvPicPr>
                  <pic:blipFill>
                    <a:blip xmlns:r="http://schemas.openxmlformats.org/officeDocument/2006/relationships" r:embed="rId10"/>
                    <a:stretch>
                      <a:fillRect/>
                    </a:stretch>
                  </pic:blipFill>
                  <pic:spPr>
                    <a:xfrm>
                      <a:off x="0" y="0"/>
                      <a:ext cx="5486400" cy="30175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68" w:lineRule="atLeast"/>
        <w:ind w:left="300" w:right="510"/>
        <w:jc w:val="both"/>
        <w:rPr>
          <w:rStyle w:val="any"/>
          <w:rFonts w:ascii="Microsoft YaHei UI" w:eastAsia="Microsoft YaHei UI" w:hAnsi="Microsoft YaHei UI" w:cs="Microsoft YaHei UI"/>
          <w:color w:val="1B1B1B"/>
          <w:spacing w:val="8"/>
          <w:sz w:val="21"/>
          <w:szCs w:val="21"/>
        </w:rPr>
      </w:pPr>
    </w:p>
    <w:p>
      <w:pPr>
        <w:shd w:val="clear" w:color="auto" w:fill="FFFFFF"/>
        <w:spacing w:before="0" w:after="0" w:line="368" w:lineRule="atLeast"/>
        <w:ind w:left="300" w:right="510"/>
        <w:jc w:val="center"/>
        <w:rPr>
          <w:rStyle w:val="any"/>
          <w:rFonts w:ascii="Microsoft YaHei UI" w:eastAsia="Microsoft YaHei UI" w:hAnsi="Microsoft YaHei UI" w:cs="Microsoft YaHei UI"/>
          <w:color w:val="1B1B1B"/>
          <w:spacing w:val="8"/>
          <w:sz w:val="21"/>
          <w:szCs w:val="21"/>
        </w:rPr>
      </w:pPr>
      <w:r>
        <w:rPr>
          <w:rStyle w:val="any"/>
          <w:rFonts w:ascii="Microsoft YaHei UI" w:eastAsia="Microsoft YaHei UI" w:hAnsi="Microsoft YaHei UI" w:cs="Microsoft YaHei UI"/>
          <w:strike w:val="0"/>
          <w:color w:val="1B1B1B"/>
          <w:spacing w:val="8"/>
          <w:sz w:val="21"/>
          <w:szCs w:val="21"/>
          <w:u w:val="none"/>
        </w:rPr>
        <w:drawing>
          <wp:inline>
            <wp:extent cx="5486400" cy="303784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096549" name=""/>
                    <pic:cNvPicPr>
                      <a:picLocks noChangeAspect="1"/>
                    </pic:cNvPicPr>
                  </pic:nvPicPr>
                  <pic:blipFill>
                    <a:blip xmlns:r="http://schemas.openxmlformats.org/officeDocument/2006/relationships" r:embed="rId11"/>
                    <a:stretch>
                      <a:fillRect/>
                    </a:stretch>
                  </pic:blipFill>
                  <pic:spPr>
                    <a:xfrm>
                      <a:off x="0" y="0"/>
                      <a:ext cx="5486400" cy="3037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68" w:lineRule="atLeast"/>
        <w:ind w:left="300" w:right="510" w:firstLine="420"/>
        <w:jc w:val="both"/>
        <w:rPr>
          <w:rStyle w:val="any"/>
          <w:rFonts w:ascii="Microsoft YaHei UI" w:eastAsia="Microsoft YaHei UI" w:hAnsi="Microsoft YaHei UI" w:cs="Microsoft YaHei UI"/>
          <w:color w:val="1B1B1B"/>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 w:line="368" w:lineRule="atLeast"/>
        <w:ind w:left="300" w:right="510"/>
        <w:jc w:val="both"/>
        <w:rPr>
          <w:rStyle w:val="any"/>
          <w:rFonts w:ascii="Microsoft YaHei UI" w:eastAsia="Microsoft YaHei UI" w:hAnsi="Microsoft YaHei UI" w:cs="Microsoft YaHei UI"/>
          <w:color w:val="1B1B1B"/>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jc w:val="center"/>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jc w:val="center"/>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jc w:val="center"/>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405"/>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0"/>
          <w:szCs w:val="20"/>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val="0"/>
          <w:bCs w:val="0"/>
          <w:spacing w:val="8"/>
          <w:sz w:val="20"/>
          <w:szCs w:val="20"/>
        </w:rPr>
        <w:t>https://pubpeer.com/publications/C81572A249B144293DD657681D0711#2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val="0"/>
          <w:bCs w:val="0"/>
          <w:spacing w:val="8"/>
          <w:sz w:val="20"/>
          <w:szCs w:val="20"/>
        </w:rPr>
        <w:t>https://pubmed.ncbi.nlm.nih.gov/32066383/</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EwMTE3OA==&amp;mid=2247485133&amp;idx=1&amp;sn=aa072efa0ec293ef26f00c3ca4ac3a31&amp;chksm=c5bf256ae95bece2ee24c437c3ca3d5b2b91639c28f38d2cfc33b1c86099569a22a7778b094e&amp;scene=126&amp;sessionid=1743182396"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