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作者身份和研究结果不可靠？成都大学计算机学院研究遭撤稿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Results in Physics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‘Applying a transformation-based method to extract optical traveling waves from the Kundu–Mukherjee–Naskar equation’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基于变换方法从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Kundu-Mukherjee-Naskar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方程中提取光学行波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10.1016/j.rinp.2023.106943</w:t>
      </w:r>
      <w:r>
        <w:rPr>
          <w:rStyle w:val="any"/>
          <w:rFonts w:ascii="PMingLiU" w:eastAsia="PMingLiU" w:hAnsi="PMingLiU" w:cs="PMingLiU"/>
          <w:spacing w:val="8"/>
        </w:rPr>
        <w:t>）因学术诚信问题被撤回。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该研究由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Yong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独立完成，通讯单位为成都大学计算机学院。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3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30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期刊收到关于该文章完整性的问题反馈，经过调查后证实了这些问题。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调查结果表明，文章中描述的某些科学发现不可靠，原因在于模型构建不当，以及大量但未充分说明或解释的数学操作，这些操作的正确性和与可观察现象的相关性无法验证。这削弱了报告结果的整体有效性。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此外，期刊在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的研究诚信与出版伦理团队的协助下，对该文章进行的后期调查发现，在原始提交稿与修订版之间，作者名单发生了变化。在修订过程中，一位作者被移除，且未提供解释，也未经过期刊编辑的特殊批准，这违反了期刊关于作者变更的政策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编辑决定认为该文章的作者身份和研究结果不可靠，因此决定撤稿。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作者不同意撤稿，并对撤稿理由提出异议。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https://pubpeer.com/publications/958683FFD862412431BF5F1E6A71E5#2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成都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成都大学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6&amp;sn=ebb17624fa04d0d3a41c089f4267dec6&amp;chksm=c312cd937cf2370dc379afaf06db5e4551175c9e2f07a7719d8784f7a47d3d049ad8bd964977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81438429185956249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