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52317"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23815"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c8b72d78ba95858298f3907da4089cfe206fadd5d1d54f4882e754ed75dcf2d155774ed097&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