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南昌大学知名附属医院论文图片重复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09:03:36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Asiatic acid protests against myocardial ischemia/reperfusion injury via modulation of glycometabolism in rat cardiomyocyte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30498333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10.2147/dddt.s175116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Yang Dai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Ziwei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Minxue Quan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Yanni Lv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Yunman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Hong-Bo Xin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Yisong Qian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Institute of Translational Medicine, Nanchang University, Nanchang 330031, China, ;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Pharmacy, The First Affiliated Hospital of Nanchang University, Nanchang 330046,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Physiology, China Pharmaceutical University, Nanjing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Pteris Mucronulata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 In Figure 4, why the western blotting band of GAPDH was the same in Figure 4A and 4B? Please have the authors to provide the original uncropped gels.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4084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7502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33&amp;idx=2&amp;sn=20bce63061c25a13add6dde6578a213b&amp;chksm=ce15c5d8dbf8da77ac46602f0a82f98ec174f757500528d257477096ef1a8710e1a8376bd044&amp;scene=126&amp;sessionid=174318157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