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26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4daae7d3f418b5c9f258a04aa1aa1ed3d66e9644b51a9ef569a327b3964ad716813b9477be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