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存在多达十处以上重叠面板，天津医科大学总医院的论文被质疑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净研行动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净研行动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2025-03-24 15:03:01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 w:line="19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BFBFBF"/>
          <w:spacing w:val="9"/>
          <w:sz w:val="120"/>
          <w:szCs w:val="12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BFBFBF"/>
          <w:spacing w:val="9"/>
          <w:sz w:val="120"/>
          <w:szCs w:val="120"/>
        </w:rPr>
        <w:t>01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问题论文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标题：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miR-29a/b/c function as invasion suppressors for gliomas by targeting CDC42 and predict the prognosis of patients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期刊：British Journal of Cancer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单位：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天津医科大学总医院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发表时间：2017年8月8日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DOI: 10.1038/bjc.2017.255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363220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327201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3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6687801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656273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687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18"/>
          <w:szCs w:val="18"/>
        </w:rPr>
        <w:t>本项目得到了以下基金的资助：中国国家基础研究计划（973计划，编号：2010CB529405）、中国国家自然科学基金（编号：81402050、81502166和81672592）、天津市科学技术委员会基金（编号：15JCYBJC49900、15JCZDJC34600、16JCQNJC13400和17JCYBJC27100）、天津市卫生局项目（编号：15KJ147）、天津医科大学总医院基金（编号：2013KYQ02、2014KYQ02、2015KYZQ11、ZYYFY2014038和ZYYFY2015032）以及天津医科大学总医院“青年技术骨干”培养计划（2016年，授予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Cuijuan Shi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）。</w:t>
      </w: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19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BFBFBF"/>
          <w:spacing w:val="9"/>
          <w:sz w:val="120"/>
          <w:szCs w:val="12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BFBFBF"/>
          <w:spacing w:val="9"/>
          <w:sz w:val="120"/>
          <w:szCs w:val="120"/>
        </w:rPr>
        <w:t>02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具体说明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①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本文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 xml:space="preserve"> 4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和图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7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中存在十多处重叠面板。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33248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376621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32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spacing w:val="9"/>
          <w:sz w:val="20"/>
          <w:szCs w:val="20"/>
        </w:rPr>
        <w:t>https://www.nature.com/articles/bjc2017255#author-information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FFFFFF"/>
        </w:rPr>
        <w:t>提供线索或对推文存在疑义，请联系邮箱：jxscuijian@163.com</w:t>
      </w:r>
    </w:p>
    <w:p>
      <w:pPr>
        <w:shd w:val="clear" w:color="auto" w:fill="9A3030"/>
        <w:spacing w:before="150" w:after="150" w:line="420" w:lineRule="atLeast"/>
        <w:ind w:left="510" w:right="51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952500" cy="95250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249011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A3030"/>
        <w:spacing w:before="0" w:after="150" w:line="420" w:lineRule="atLeast"/>
        <w:ind w:left="810" w:right="51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  <w:vertAlign w:val="baseline"/>
        </w:rPr>
        <w:drawing>
          <wp:inline>
            <wp:extent cx="323850" cy="264968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884636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264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A3030"/>
        <w:spacing w:before="0" w:after="150" w:line="600" w:lineRule="atLeast"/>
        <w:ind w:left="900" w:right="51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  <w:sz w:val="30"/>
          <w:szCs w:val="30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30"/>
          <w:sz w:val="30"/>
          <w:szCs w:val="30"/>
        </w:rPr>
        <w:t>微信搜一搜</w:t>
      </w:r>
    </w:p>
    <w:p>
      <w:pPr>
        <w:shd w:val="clear" w:color="auto" w:fill="FFFFFF"/>
        <w:spacing w:before="45" w:after="150" w:line="420" w:lineRule="atLeast"/>
        <w:ind w:left="960" w:right="66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  <w:vertAlign w:val="baseline"/>
        </w:rPr>
        <w:drawing>
          <wp:inline>
            <wp:extent cx="190500" cy="17821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368604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78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 w:line="540" w:lineRule="atLeast"/>
        <w:ind w:left="1020" w:right="660"/>
        <w:jc w:val="center"/>
        <w:rPr>
          <w:rStyle w:val="any"/>
          <w:rFonts w:ascii="Times New Roman" w:eastAsia="Times New Roman" w:hAnsi="Times New Roman" w:cs="Times New Roman"/>
          <w:color w:val="222222"/>
          <w:spacing w:val="22"/>
          <w:sz w:val="27"/>
          <w:szCs w:val="27"/>
        </w:rPr>
      </w:pPr>
      <w:r>
        <w:rPr>
          <w:rStyle w:val="any"/>
          <w:rFonts w:ascii="Times New Roman" w:eastAsia="Times New Roman" w:hAnsi="Times New Roman" w:cs="Times New Roman"/>
          <w:color w:val="222222"/>
          <w:spacing w:val="22"/>
          <w:sz w:val="27"/>
          <w:szCs w:val="27"/>
        </w:rPr>
        <w:t> </w:t>
      </w:r>
      <w:r>
        <w:rPr>
          <w:rStyle w:val="any"/>
          <w:rFonts w:ascii="PMingLiU" w:eastAsia="PMingLiU" w:hAnsi="PMingLiU" w:cs="PMingLiU"/>
          <w:color w:val="222222"/>
          <w:spacing w:val="22"/>
          <w:sz w:val="27"/>
          <w:szCs w:val="27"/>
        </w:rPr>
        <w:t>净研行动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E0NTE5Mg==&amp;mid=2247488830&amp;idx=1&amp;sn=d94a6f93adb838eeeda37b51d868117a&amp;chksm=c2abcdbf6867a429054afd3d277ba71ead641a6e84692d5f43d99a0d8840df12ebb5d488df29&amp;scene=126&amp;sessionid=1743180934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