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82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57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2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05d0b0c00e31fa03ae439f9a382b696e8a957d6c13ea99ded8434ea114f2d2faca55eb1480&amp;scene=126&amp;sessionid=1743094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