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淄博市中心医院副院长李良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山东省立医院统计与病案管理科论文图像重复遭质疑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94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Resveratrol potentiates the anti-tumor effects of rapamycin in papillary thyroid cancer: PI3K/AKT/mTOR pathway involved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山东省立医院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统计与病案管理科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Peng Bian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淄博市中心医院乳腺甲状腺外科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Liang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李良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Archives of biochemistry and biophysics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829300" cy="43148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49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45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张小图与另外三篇论文出现重复。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4c, Archives of Biochemistry and Biophysics (2020), doi: 10.1016/j.abb.2020.108461, discussed here: https://pubpeer.com/publications/D9A8C9A719188DDE00229D535217FF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7B and Figure 7D, BMC Endocrine Disorders (2023) doi: 10.1186/s12902-023-01416-0, discussed here: https://pubpeer.com/publications/67EBB4772A7378E0B95FBB29B298CD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5b, Journal of International Medical Research (2021), doi: 10.1177/03000605211016562, discussed here: https://pubpeer.com/publications/D6EB2AE9F759B56C937F39D01DC1D4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5b – excerpt, BioMed Research International (2022), doi: 10.1155/2022/5509346, Retracted, discussed here: https://pubpeer.com/publications/DEA3E3E2EA1180535F7CB778C1C0AD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6448425" cy="452583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7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525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63a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的的条带图与同期刊发表的另一篇论文相似（水平翻转后），大约在同一时间，尽管没有共同的作者。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15874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08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15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https://pubpeer.com/publications/D9A8C9A719188DDE00229D535217FF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https://pubmed.ncbi.nlm.nih.gov/32531316/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2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2&amp;sn=2130548cd450bd9dda5e654f5658c732&amp;chksm=c3ece71d9a0f316716c8e949edf7d635f88ae642cf9848a0ba2f9934c189d29bdf04ca6ce767&amp;scene=126&amp;sessionid=17430939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