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47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8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2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9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9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20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88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2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73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3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2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dfa4f907e1cfbe0d6bddec102ac790cd1d4904ca79568436234a68a48875db5114b4b3410b&amp;scene=126&amp;sessionid=17430937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