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16:58:12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5916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9&amp;idx=1&amp;sn=c7563ec9794d25551849cd373ba82486&amp;chksm=cf0f8e8b72b984175ba9c47d8f09699bb0e2bd46fd7ef0feb41e0772034ea0be520545c418d2&amp;scene=126&amp;sessionid=174309532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