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中南大学湘雅医院临床药理学系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Neurochem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09:30:06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7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734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中南大学湘雅医院临床药理学系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Neurochem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Expression Alteration of BC1 RNA and its Interaction with Eukaryotic Translation Initiation Factor eIF4A Post-Status Epilepticus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癫痫状态后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的表达变化及其与真核翻译起始因子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树突异常发芽和突触重塑是颞叶癫痫的重要病理特征。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是一种翻译阻遏物，参与调节树突蛋白合成和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转运，这对树突发育和可塑性至关重要。毛果芸香碱诱导的癫痫模型中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的表达变化尚不清楚。目前尚不清楚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和真核起始因子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）之间的相互作用是否存在于该模型中。本研究旨在探讨癫痫持续状态（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的相互作用。氯化锂和匹罗卡品用于诱导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大鼠模型。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后不同时间点采集全脑或海马组织，通过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和原位杂交检测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的表达模式。通过蛋白质印迹和免疫组织化学分析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蛋白表达水平。通过电泳迁移率变动分析（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相互作用。我们发现，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，海马体中的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水平在水平恢复之前有所下降。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开始上升，在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达到最大水平。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亚区的水平下降。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特异性相互作用。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周降至最低水平。我们的结果表明，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可能通过调节树突蛋白合成参与癫痫发生。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湖南省新药药效学与安全性评价重点实验室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湖南省药物安全性评价研究中心，长沙，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410331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中南大学湘雅医院心内科，长沙，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中南大学湘雅医院健康管理中心，长沙，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中南大学药物科学学院药理学系，长沙，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410000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Neurochem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DG-3d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H-4w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面板之间的明显重叠表示担忧。提交人没有提供任何澄清。此外，这篇论文的作者身份无法得到证实。因此，总编辑对数据的完整性失去了信心。作者没有回复有关撤回的信件。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207454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8953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6818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1769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43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40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71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70&amp;idx=1&amp;sn=e982f7b8d9202a3697de1878e221f2e0&amp;chksm=c05e28b1d3177e3bc4a60b3f3f24bcde247a5d559f0e7b1791e99e6964673f0948a36ae83870&amp;scene=126&amp;sessionid=17431288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