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不同蛋白质之间存在相同面板！山东大学附属省立医院论文研究遭质疑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"Overexpression of IL-9 induced by STAT3 phosphorylation is mediated by miR-155 and miR-21 in chronic lymphocytic leukemia“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在慢性淋巴细胞白血病中，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STAT3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IL-9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过度表达由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miR-155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miR-21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10.3892/or.2018.6367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Gerris caucasicus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不同蛋白质之间存在相同面板。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该论文由来自山东大学附属省立医院血液科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Na Chen , Lili Feng , Huiting Qu , Kang Lu , Peipei Li , Xiao Lv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山东大学附属省立医院血液科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6890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110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归因于不同蛋白质的相同面板（红色框）：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74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37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16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）、山东省医学领军人才计划和山东省泰山学者基金的部分资助。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6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31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https://pubmed.ncbi.nlm.nih.gov/29658610/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0496086751494145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3&amp;sn=b97c26bae2b7afb367e96785a59ce2c1&amp;chksm=c2498f2ea305bb0591a6da422f433868eb33699d92b805113852aa69c54f3a09895399ce9a8f&amp;scene=126&amp;sessionid=17430937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