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难说误用！江苏省人民医院副院长研究图像旋转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‘YY1 targets tubulin polymerisation-promoting protein to inhibit migration, invasion and angiogenesis in pancreatic cancer via p38/MAPK and PI3K/AKT pathways’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p38/MAPK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10.1038/s41416-019-0604-5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Qun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Chuang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Jing-Jing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Wan-Li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Ling-Dong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Xu-Min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 Miao</w:t>
      </w:r>
      <w:r>
        <w:rPr>
          <w:rStyle w:val="any"/>
          <w:rFonts w:ascii="PMingLiU" w:eastAsia="PMingLiU" w:hAnsi="PMingLiU" w:cs="PMingLiU"/>
          <w:spacing w:val="8"/>
        </w:rPr>
        <w:t>（通讯作者，曾任胰腺中心主任）和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Kui-Rong Jiang</w:t>
      </w:r>
      <w:r>
        <w:rPr>
          <w:rStyle w:val="any"/>
          <w:rFonts w:ascii="PMingLiU" w:eastAsia="PMingLiU" w:hAnsi="PMingLiU" w:cs="PMingLiU"/>
          <w:spacing w:val="8"/>
        </w:rPr>
        <w:t>（通讯作者，副院长、胰腺中心主任）共同完成，通讯单位为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南京医科大学第一附属医院（江苏省人民医院）胰腺中心。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9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：意外的蛋白质印迹重复。我添加了红框来表达我的意思。请作者检查并发表评论？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0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4&amp;idx=1&amp;sn=16d0c12b01e47f066c93e9c75974e180&amp;chksm=c3d54f0a4ac475ce7c99ffca447a115ffa8254bd0637f3294e72e35c096138afb091a8760fdf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