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细胞系不同，图像重叠？华东理工大学，上海龙华医院和上海市第十人民医院合作研究遭质疑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10:49:33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‘Inhibition of polypyrimidine tract-binding protein 3 induces apoptosis and cell cycle arrest, and enhances the cytotoxicity of 5-fluorouracil in gastric cancer cells’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抑制多嘧啶序列结合蛋白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诱导胃癌细胞凋亡和细胞周期阻滞，并增强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5-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氟尿嘧啶的细胞毒性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10.1038/bjc.2017.32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Xin Liang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Haiyang Shi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Liyan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Cen Qiu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Shengchao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Yingxue Qi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Jiyu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Aiguang Zhao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Jianwen Liu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Jianwen Liu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华东理工大学药学院生物反应器工程国家重点实验室、上海市新药设计重点实验室，通讯作者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Aiguang Zhao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上海中医药大学附属龙华医院肿瘤科，通讯作者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Jiyu Li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同济大学医学院上海市第十人民医院普通外科。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5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92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：应该显示不同细胞系的蛋白质印迹之间意外地相似，我添加了粉色矩形来显示我的意思。请作者检查并发表评论？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9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7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https://pubpeer.com/publications/1700BF626EAE75771005B251C66951#1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华东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华东理工大学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59&amp;idx=6&amp;sn=8fe3a398810a9d456e0702fa3a8295ae&amp;chksm=c31aa5b9e3cbb92efe5486484638344790aa71a6503214011c8a0603970435c2159554133e66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710135150788444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