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卫健委需严查！广西医科大学第一附属医院副院长陷</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论文工厂</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疑云遭撤稿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2025-03-22 10:49:33</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近日，发表于《</w:t>
      </w:r>
      <w:r>
        <w:rPr>
          <w:rStyle w:val="any"/>
          <w:rFonts w:ascii="Times New Roman" w:eastAsia="Times New Roman" w:hAnsi="Times New Roman" w:cs="Times New Roman"/>
          <w:spacing w:val="8"/>
          <w:sz w:val="26"/>
          <w:szCs w:val="26"/>
        </w:rPr>
        <w:t>Journal of Experimental &amp; Clinical Cancer Research</w:t>
      </w:r>
      <w:r>
        <w:rPr>
          <w:rStyle w:val="any"/>
          <w:rFonts w:ascii="PMingLiU" w:eastAsia="PMingLiU" w:hAnsi="PMingLiU" w:cs="PMingLiU"/>
          <w:spacing w:val="8"/>
          <w:sz w:val="26"/>
          <w:szCs w:val="26"/>
        </w:rPr>
        <w:t>》期刊上的研究</w:t>
      </w:r>
      <w:r>
        <w:rPr>
          <w:rStyle w:val="any"/>
          <w:rFonts w:ascii="Times New Roman" w:eastAsia="Times New Roman" w:hAnsi="Times New Roman" w:cs="Times New Roman"/>
          <w:b/>
          <w:bCs/>
          <w:spacing w:val="8"/>
          <w:sz w:val="26"/>
          <w:szCs w:val="26"/>
        </w:rPr>
        <w:t>‘Lnc-PDZD7 contributes to stemness properties and chemosensitivity in hepatocellular carcinoma through EZH2-mediated ATOH8 transcriptional repression’Lnc-PDZD7</w:t>
      </w:r>
      <w:r>
        <w:rPr>
          <w:rStyle w:val="any"/>
          <w:rFonts w:ascii="PMingLiU" w:eastAsia="PMingLiU" w:hAnsi="PMingLiU" w:cs="PMingLiU"/>
          <w:b/>
          <w:bCs/>
          <w:spacing w:val="8"/>
          <w:sz w:val="26"/>
          <w:szCs w:val="26"/>
        </w:rPr>
        <w:t>通过</w:t>
      </w:r>
      <w:r>
        <w:rPr>
          <w:rStyle w:val="any"/>
          <w:rFonts w:ascii="Times New Roman" w:eastAsia="Times New Roman" w:hAnsi="Times New Roman" w:cs="Times New Roman"/>
          <w:b/>
          <w:bCs/>
          <w:spacing w:val="8"/>
          <w:sz w:val="26"/>
          <w:szCs w:val="26"/>
        </w:rPr>
        <w:t>EZH2</w:t>
      </w:r>
      <w:r>
        <w:rPr>
          <w:rStyle w:val="any"/>
          <w:rFonts w:ascii="PMingLiU" w:eastAsia="PMingLiU" w:hAnsi="PMingLiU" w:cs="PMingLiU"/>
          <w:b/>
          <w:bCs/>
          <w:spacing w:val="8"/>
          <w:sz w:val="26"/>
          <w:szCs w:val="26"/>
        </w:rPr>
        <w:t>介导的</w:t>
      </w:r>
      <w:r>
        <w:rPr>
          <w:rStyle w:val="any"/>
          <w:rFonts w:ascii="Times New Roman" w:eastAsia="Times New Roman" w:hAnsi="Times New Roman" w:cs="Times New Roman"/>
          <w:b/>
          <w:bCs/>
          <w:spacing w:val="8"/>
          <w:sz w:val="26"/>
          <w:szCs w:val="26"/>
        </w:rPr>
        <w:t>ATOH8</w:t>
      </w:r>
      <w:r>
        <w:rPr>
          <w:rStyle w:val="any"/>
          <w:rFonts w:ascii="PMingLiU" w:eastAsia="PMingLiU" w:hAnsi="PMingLiU" w:cs="PMingLiU"/>
          <w:b/>
          <w:bCs/>
          <w:spacing w:val="8"/>
          <w:sz w:val="26"/>
          <w:szCs w:val="26"/>
        </w:rPr>
        <w:t>转录抑制促进肝细胞癌的干性特征和化疗敏感性</w:t>
      </w:r>
      <w:r>
        <w:rPr>
          <w:rStyle w:val="any"/>
          <w:rFonts w:ascii="PMingLiU" w:eastAsia="PMingLiU" w:hAnsi="PMingLiU" w:cs="PMingLiU"/>
          <w:spacing w:val="8"/>
          <w:sz w:val="26"/>
          <w:szCs w:val="26"/>
        </w:rPr>
        <w:t>（</w:t>
      </w:r>
      <w:r>
        <w:rPr>
          <w:rStyle w:val="any"/>
          <w:rFonts w:ascii="Times New Roman" w:eastAsia="Times New Roman" w:hAnsi="Times New Roman" w:cs="Times New Roman"/>
          <w:spacing w:val="8"/>
          <w:sz w:val="26"/>
          <w:szCs w:val="26"/>
        </w:rPr>
        <w:t>doi: 10.1186/s13046-019-1106-2</w:t>
      </w:r>
      <w:r>
        <w:rPr>
          <w:rStyle w:val="any"/>
          <w:rFonts w:ascii="PMingLiU" w:eastAsia="PMingLiU" w:hAnsi="PMingLiU" w:cs="PMingLiU"/>
          <w:spacing w:val="8"/>
          <w:sz w:val="26"/>
          <w:szCs w:val="26"/>
        </w:rPr>
        <w:t>）因实验图像和引物问题被撤回。该研究由</w:t>
      </w:r>
      <w:r>
        <w:rPr>
          <w:rStyle w:val="any"/>
          <w:rFonts w:ascii="Times New Roman" w:eastAsia="Times New Roman" w:hAnsi="Times New Roman" w:cs="Times New Roman"/>
          <w:spacing w:val="8"/>
          <w:sz w:val="26"/>
          <w:szCs w:val="26"/>
        </w:rPr>
        <w:t>Yi Zhang</w:t>
      </w:r>
      <w:r>
        <w:rPr>
          <w:rStyle w:val="any"/>
          <w:rFonts w:ascii="PMingLiU" w:eastAsia="PMingLiU" w:hAnsi="PMingLiU" w:cs="PMingLiU"/>
          <w:spacing w:val="8"/>
          <w:sz w:val="26"/>
          <w:szCs w:val="26"/>
        </w:rPr>
        <w:t>、</w:t>
      </w:r>
      <w:r>
        <w:rPr>
          <w:rStyle w:val="any"/>
          <w:rFonts w:ascii="Times New Roman" w:eastAsia="Times New Roman" w:hAnsi="Times New Roman" w:cs="Times New Roman"/>
          <w:spacing w:val="8"/>
          <w:sz w:val="26"/>
          <w:szCs w:val="26"/>
        </w:rPr>
        <w:t>Bo Tang</w:t>
      </w:r>
      <w:r>
        <w:rPr>
          <w:rStyle w:val="any"/>
          <w:rFonts w:ascii="PMingLiU" w:eastAsia="PMingLiU" w:hAnsi="PMingLiU" w:cs="PMingLiU"/>
          <w:spacing w:val="8"/>
          <w:sz w:val="26"/>
          <w:szCs w:val="26"/>
        </w:rPr>
        <w:t>、</w:t>
      </w:r>
      <w:r>
        <w:rPr>
          <w:rStyle w:val="any"/>
          <w:rFonts w:ascii="Times New Roman" w:eastAsia="Times New Roman" w:hAnsi="Times New Roman" w:cs="Times New Roman"/>
          <w:spacing w:val="8"/>
          <w:sz w:val="26"/>
          <w:szCs w:val="26"/>
        </w:rPr>
        <w:t>Jun Song</w:t>
      </w:r>
      <w:r>
        <w:rPr>
          <w:rStyle w:val="any"/>
          <w:rFonts w:ascii="PMingLiU" w:eastAsia="PMingLiU" w:hAnsi="PMingLiU" w:cs="PMingLiU"/>
          <w:spacing w:val="8"/>
          <w:sz w:val="26"/>
          <w:szCs w:val="26"/>
        </w:rPr>
        <w:t>、</w:t>
      </w:r>
      <w:r>
        <w:rPr>
          <w:rStyle w:val="any"/>
          <w:rFonts w:ascii="Times New Roman" w:eastAsia="Times New Roman" w:hAnsi="Times New Roman" w:cs="Times New Roman"/>
          <w:spacing w:val="8"/>
          <w:sz w:val="26"/>
          <w:szCs w:val="26"/>
        </w:rPr>
        <w:t>Shuiping Yu</w:t>
      </w:r>
      <w:r>
        <w:rPr>
          <w:rStyle w:val="any"/>
          <w:rFonts w:ascii="PMingLiU" w:eastAsia="PMingLiU" w:hAnsi="PMingLiU" w:cs="PMingLiU"/>
          <w:spacing w:val="8"/>
          <w:sz w:val="26"/>
          <w:szCs w:val="26"/>
        </w:rPr>
        <w:t>、</w:t>
      </w:r>
      <w:r>
        <w:rPr>
          <w:rStyle w:val="any"/>
          <w:rFonts w:ascii="Times New Roman" w:eastAsia="Times New Roman" w:hAnsi="Times New Roman" w:cs="Times New Roman"/>
          <w:spacing w:val="8"/>
          <w:sz w:val="26"/>
          <w:szCs w:val="26"/>
        </w:rPr>
        <w:t>Yang Li</w:t>
      </w:r>
      <w:r>
        <w:rPr>
          <w:rStyle w:val="any"/>
          <w:rFonts w:ascii="PMingLiU" w:eastAsia="PMingLiU" w:hAnsi="PMingLiU" w:cs="PMingLiU"/>
          <w:spacing w:val="8"/>
          <w:sz w:val="26"/>
          <w:szCs w:val="26"/>
        </w:rPr>
        <w:t>、</w:t>
      </w:r>
      <w:r>
        <w:rPr>
          <w:rStyle w:val="any"/>
          <w:rFonts w:ascii="Times New Roman" w:eastAsia="Times New Roman" w:hAnsi="Times New Roman" w:cs="Times New Roman"/>
          <w:spacing w:val="8"/>
          <w:sz w:val="26"/>
          <w:szCs w:val="26"/>
        </w:rPr>
        <w:t>Huizhao Su</w:t>
      </w:r>
      <w:r>
        <w:rPr>
          <w:rStyle w:val="any"/>
          <w:rFonts w:ascii="PMingLiU" w:eastAsia="PMingLiU" w:hAnsi="PMingLiU" w:cs="PMingLiU"/>
          <w:spacing w:val="8"/>
          <w:sz w:val="26"/>
          <w:szCs w:val="26"/>
        </w:rPr>
        <w:t>和</w:t>
      </w:r>
      <w:r>
        <w:rPr>
          <w:rStyle w:val="any"/>
          <w:rFonts w:ascii="Times New Roman" w:eastAsia="Times New Roman" w:hAnsi="Times New Roman" w:cs="Times New Roman"/>
          <w:b/>
          <w:bCs/>
          <w:spacing w:val="8"/>
          <w:sz w:val="26"/>
          <w:szCs w:val="26"/>
        </w:rPr>
        <w:t>Songqing He</w:t>
      </w:r>
      <w:r>
        <w:rPr>
          <w:rStyle w:val="any"/>
          <w:rFonts w:ascii="PMingLiU" w:eastAsia="PMingLiU" w:hAnsi="PMingLiU" w:cs="PMingLiU"/>
          <w:spacing w:val="8"/>
          <w:sz w:val="26"/>
          <w:szCs w:val="26"/>
        </w:rPr>
        <w:t>（通讯作者，副院长）共同完成，通讯单位为</w:t>
      </w:r>
      <w:r>
        <w:rPr>
          <w:rStyle w:val="any"/>
          <w:rFonts w:ascii="PMingLiU" w:eastAsia="PMingLiU" w:hAnsi="PMingLiU" w:cs="PMingLiU"/>
          <w:spacing w:val="8"/>
          <w:sz w:val="26"/>
          <w:szCs w:val="26"/>
        </w:rPr>
        <w:t>广西医科大学第一附属医院肝胆外科。</w:t>
      </w:r>
      <w:r>
        <w:rPr>
          <w:rStyle w:val="any"/>
          <w:rFonts w:ascii="Times New Roman" w:eastAsia="Times New Roman" w:hAnsi="Times New Roman" w:cs="Times New Roman"/>
          <w:strike w:val="0"/>
          <w:spacing w:val="8"/>
          <w:u w:val="none"/>
        </w:rPr>
        <w:drawing>
          <wp:inline>
            <wp:extent cx="5486400" cy="44551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46268" name=""/>
                    <pic:cNvPicPr>
                      <a:picLocks noChangeAspect="1"/>
                    </pic:cNvPicPr>
                  </pic:nvPicPr>
                  <pic:blipFill>
                    <a:blip xmlns:r="http://schemas.openxmlformats.org/officeDocument/2006/relationships" r:embed="rId6"/>
                    <a:stretch>
                      <a:fillRect/>
                    </a:stretch>
                  </pic:blipFill>
                  <pic:spPr>
                    <a:xfrm>
                      <a:off x="0" y="0"/>
                      <a:ext cx="5486400" cy="44551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指出本文存在图像重复：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本文图</w:t>
      </w:r>
      <w:r>
        <w:rPr>
          <w:rStyle w:val="any"/>
          <w:rFonts w:ascii="Times New Roman" w:eastAsia="Times New Roman" w:hAnsi="Times New Roman" w:cs="Times New Roman"/>
          <w:spacing w:val="8"/>
        </w:rPr>
        <w:t>3B,F</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327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05500" name=""/>
                    <pic:cNvPicPr>
                      <a:picLocks noChangeAspect="1"/>
                    </pic:cNvPicPr>
                  </pic:nvPicPr>
                  <pic:blipFill>
                    <a:blip xmlns:r="http://schemas.openxmlformats.org/officeDocument/2006/relationships" r:embed="rId7"/>
                    <a:stretch>
                      <a:fillRect/>
                    </a:stretch>
                  </pic:blipFill>
                  <pic:spPr>
                    <a:xfrm>
                      <a:off x="0" y="0"/>
                      <a:ext cx="5486400" cy="303276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如何解释非常相似但不完全相同的菌落模式？</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8"/>
        </w:rPr>
        <w:t>该评论人进一步指出：</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G</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肝癌中</w:t>
      </w:r>
      <w:r>
        <w:rPr>
          <w:rStyle w:val="any"/>
          <w:rFonts w:ascii="Times New Roman" w:eastAsia="Times New Roman" w:hAnsi="Times New Roman" w:cs="Times New Roman"/>
          <w:spacing w:val="8"/>
        </w:rPr>
        <w:t>δ</w:t>
      </w:r>
      <w:r>
        <w:rPr>
          <w:rStyle w:val="any"/>
          <w:rFonts w:ascii="PMingLiU" w:eastAsia="PMingLiU" w:hAnsi="PMingLiU" w:cs="PMingLiU"/>
          <w:spacing w:val="8"/>
        </w:rPr>
        <w:t>阿片受体的上调促进体内和体外肝癌进展</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Tang et al 2013</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0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12455" name=""/>
                    <pic:cNvPicPr>
                      <a:picLocks noChangeAspect="1"/>
                    </pic:cNvPicPr>
                  </pic:nvPicPr>
                  <pic:blipFill>
                    <a:blip xmlns:r="http://schemas.openxmlformats.org/officeDocument/2006/relationships" r:embed="rId8"/>
                    <a:stretch>
                      <a:fillRect/>
                    </a:stretch>
                  </pic:blipFill>
                  <pic:spPr>
                    <a:xfrm>
                      <a:off x="0" y="0"/>
                      <a:ext cx="5486400" cy="1300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更新：又有发现！图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二甲双胍通过抑制</w:t>
      </w:r>
      <w:r>
        <w:rPr>
          <w:rStyle w:val="any"/>
          <w:rFonts w:ascii="Times New Roman" w:eastAsia="Times New Roman" w:hAnsi="Times New Roman" w:cs="Times New Roman"/>
          <w:spacing w:val="8"/>
        </w:rPr>
        <w:t xml:space="preserve"> YAP </w:t>
      </w:r>
      <w:r>
        <w:rPr>
          <w:rStyle w:val="any"/>
          <w:rFonts w:ascii="PMingLiU" w:eastAsia="PMingLiU" w:hAnsi="PMingLiU" w:cs="PMingLiU"/>
          <w:spacing w:val="8"/>
        </w:rPr>
        <w:t>介导肝细胞癌对</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氟尿嘧啶的敏感性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Tian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2016 </w:t>
      </w:r>
      <w:r>
        <w:rPr>
          <w:rStyle w:val="any"/>
          <w:rFonts w:ascii="PMingLiU" w:eastAsia="PMingLiU" w:hAnsi="PMingLiU" w:cs="PMingLiU"/>
          <w:spacing w:val="8"/>
        </w:rPr>
        <w:t>年）</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854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15508" name=""/>
                    <pic:cNvPicPr>
                      <a:picLocks noChangeAspect="1"/>
                    </pic:cNvPicPr>
                  </pic:nvPicPr>
                  <pic:blipFill>
                    <a:blip xmlns:r="http://schemas.openxmlformats.org/officeDocument/2006/relationships" r:embed="rId9"/>
                    <a:stretch>
                      <a:fillRect/>
                    </a:stretch>
                  </pic:blipFill>
                  <pic:spPr>
                    <a:xfrm>
                      <a:off x="0" y="0"/>
                      <a:ext cx="5486400" cy="2885440"/>
                    </a:xfrm>
                    <a:prstGeom prst="rect">
                      <a:avLst/>
                    </a:prstGeom>
                  </pic:spPr>
                </pic:pic>
              </a:graphicData>
            </a:graphic>
          </wp:inline>
        </w:drawing>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4G</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H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“PEA15 </w:t>
      </w:r>
      <w:r>
        <w:rPr>
          <w:rStyle w:val="any"/>
          <w:rFonts w:ascii="PMingLiU" w:eastAsia="PMingLiU" w:hAnsi="PMingLiU" w:cs="PMingLiU"/>
          <w:spacing w:val="8"/>
        </w:rPr>
        <w:t>通过上调</w:t>
      </w:r>
      <w:r>
        <w:rPr>
          <w:rStyle w:val="any"/>
          <w:rFonts w:ascii="Times New Roman" w:eastAsia="Times New Roman" w:hAnsi="Times New Roman" w:cs="Times New Roman"/>
          <w:spacing w:val="8"/>
        </w:rPr>
        <w:t xml:space="preserve"> ERK/MAPK </w:t>
      </w:r>
      <w:r>
        <w:rPr>
          <w:rStyle w:val="any"/>
          <w:rFonts w:ascii="PMingLiU" w:eastAsia="PMingLiU" w:hAnsi="PMingLiU" w:cs="PMingLiU"/>
          <w:spacing w:val="8"/>
        </w:rPr>
        <w:t>信号通路促进结直肠癌肝转移</w:t>
      </w:r>
      <w:r>
        <w:rPr>
          <w:rStyle w:val="any"/>
          <w:rFonts w:ascii="Times New Roman" w:eastAsia="Times New Roman" w:hAnsi="Times New Roman" w:cs="Times New Roman"/>
          <w:spacing w:val="8"/>
        </w:rPr>
        <w:t>”(Tang et al 2019)</w:t>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1F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“m6A </w:t>
      </w:r>
      <w:r>
        <w:rPr>
          <w:rStyle w:val="any"/>
          <w:rFonts w:ascii="PMingLiU" w:eastAsia="PMingLiU" w:hAnsi="PMingLiU" w:cs="PMingLiU"/>
          <w:spacing w:val="8"/>
        </w:rPr>
        <w:t>修饰介导的</w:t>
      </w:r>
      <w:r>
        <w:rPr>
          <w:rStyle w:val="any"/>
          <w:rFonts w:ascii="Times New Roman" w:eastAsia="Times New Roman" w:hAnsi="Times New Roman" w:cs="Times New Roman"/>
          <w:spacing w:val="8"/>
        </w:rPr>
        <w:t xml:space="preserve"> CBX8 </w:t>
      </w:r>
      <w:r>
        <w:rPr>
          <w:rStyle w:val="any"/>
          <w:rFonts w:ascii="PMingLiU" w:eastAsia="PMingLiU" w:hAnsi="PMingLiU" w:cs="PMingLiU"/>
          <w:spacing w:val="8"/>
        </w:rPr>
        <w:t>诱导通过上调</w:t>
      </w:r>
      <w:r>
        <w:rPr>
          <w:rStyle w:val="any"/>
          <w:rFonts w:ascii="Times New Roman" w:eastAsia="Times New Roman" w:hAnsi="Times New Roman" w:cs="Times New Roman"/>
          <w:spacing w:val="8"/>
        </w:rPr>
        <w:t xml:space="preserve"> LGR5 </w:t>
      </w:r>
      <w:r>
        <w:rPr>
          <w:rStyle w:val="any"/>
          <w:rFonts w:ascii="PMingLiU" w:eastAsia="PMingLiU" w:hAnsi="PMingLiU" w:cs="PMingLiU"/>
          <w:spacing w:val="8"/>
        </w:rPr>
        <w:t>调节结肠癌的干性和化学敏感性</w:t>
      </w:r>
      <w:r>
        <w:rPr>
          <w:rStyle w:val="any"/>
          <w:rFonts w:ascii="Times New Roman" w:eastAsia="Times New Roman" w:hAnsi="Times New Roman" w:cs="Times New Roman"/>
          <w:spacing w:val="8"/>
        </w:rPr>
        <w:t>”(Zhang et al 2019)</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86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36175" name=""/>
                    <pic:cNvPicPr>
                      <a:picLocks noChangeAspect="1"/>
                    </pic:cNvPicPr>
                  </pic:nvPicPr>
                  <pic:blipFill>
                    <a:blip xmlns:r="http://schemas.openxmlformats.org/officeDocument/2006/relationships" r:embed="rId10"/>
                    <a:stretch>
                      <a:fillRect/>
                    </a:stretch>
                  </pic:blipFill>
                  <pic:spPr>
                    <a:xfrm>
                      <a:off x="0" y="0"/>
                      <a:ext cx="5486400" cy="1986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更新：图</w:t>
      </w:r>
      <w:r>
        <w:rPr>
          <w:rStyle w:val="any"/>
          <w:rFonts w:ascii="Times New Roman" w:eastAsia="Times New Roman" w:hAnsi="Times New Roman" w:cs="Times New Roman"/>
          <w:spacing w:val="8"/>
        </w:rPr>
        <w:t xml:space="preserve"> 8a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b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“MicroRNA-644a </w:t>
      </w:r>
      <w:r>
        <w:rPr>
          <w:rStyle w:val="any"/>
          <w:rFonts w:ascii="PMingLiU" w:eastAsia="PMingLiU" w:hAnsi="PMingLiU" w:cs="PMingLiU"/>
          <w:spacing w:val="8"/>
        </w:rPr>
        <w:t>通过下调热休克因子</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的表达促进肝细胞癌细胞凋亡</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Liang et al 2018</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05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99707" name=""/>
                    <pic:cNvPicPr>
                      <a:picLocks noChangeAspect="1"/>
                    </pic:cNvPicPr>
                  </pic:nvPicPr>
                  <pic:blipFill>
                    <a:blip xmlns:r="http://schemas.openxmlformats.org/officeDocument/2006/relationships" r:embed="rId11"/>
                    <a:stretch>
                      <a:fillRect/>
                    </a:stretch>
                  </pic:blipFill>
                  <pic:spPr>
                    <a:xfrm>
                      <a:off x="0" y="0"/>
                      <a:ext cx="5486400" cy="1905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指出本文存在其他重复</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4G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6G</w:t>
      </w:r>
      <w:r>
        <w:rPr>
          <w:rStyle w:val="any"/>
          <w:rFonts w:ascii="PMingLiU" w:eastAsia="PMingLiU" w:hAnsi="PMingLiU" w:cs="PMingLiU"/>
          <w:spacing w:val="8"/>
        </w:rPr>
        <w:t>。作者能否对重复的条带发表评论？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94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96382" name=""/>
                    <pic:cNvPicPr>
                      <a:picLocks noChangeAspect="1"/>
                    </pic:cNvPicPr>
                  </pic:nvPicPr>
                  <pic:blipFill>
                    <a:blip xmlns:r="http://schemas.openxmlformats.org/officeDocument/2006/relationships" r:embed="rId12"/>
                    <a:stretch>
                      <a:fillRect/>
                    </a:stretch>
                  </pic:blipFill>
                  <pic:spPr>
                    <a:xfrm>
                      <a:off x="0" y="0"/>
                      <a:ext cx="5486400" cy="3139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Aphilanthops foxi</w:t>
      </w:r>
      <w:r>
        <w:rPr>
          <w:rStyle w:val="any"/>
          <w:rFonts w:ascii="PMingLiU" w:eastAsia="PMingLiU" w:hAnsi="PMingLiU" w:cs="PMingLiU"/>
          <w:b/>
          <w:bCs/>
          <w:spacing w:val="8"/>
        </w:rPr>
        <w:t>指出本文存在引物问题：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这篇文章是迄今为止发现的</w:t>
      </w:r>
      <w:r>
        <w:rPr>
          <w:rStyle w:val="any"/>
          <w:rFonts w:ascii="Times New Roman" w:eastAsia="Times New Roman" w:hAnsi="Times New Roman" w:cs="Times New Roman"/>
          <w:spacing w:val="8"/>
        </w:rPr>
        <w:t>100</w:t>
      </w:r>
      <w:r>
        <w:rPr>
          <w:rStyle w:val="any"/>
          <w:rFonts w:ascii="PMingLiU" w:eastAsia="PMingLiU" w:hAnsi="PMingLiU" w:cs="PMingLiU"/>
          <w:spacing w:val="8"/>
        </w:rPr>
        <w:t>多篇文章之一，这些文章报告了在定量</w:t>
      </w:r>
      <w:r>
        <w:rPr>
          <w:rStyle w:val="any"/>
          <w:rFonts w:ascii="Times New Roman" w:eastAsia="Times New Roman" w:hAnsi="Times New Roman" w:cs="Times New Roman"/>
          <w:spacing w:val="8"/>
        </w:rPr>
        <w:t>PCR</w:t>
      </w:r>
      <w:r>
        <w:rPr>
          <w:rStyle w:val="any"/>
          <w:rFonts w:ascii="PMingLiU" w:eastAsia="PMingLiU" w:hAnsi="PMingLiU" w:cs="PMingLiU"/>
          <w:spacing w:val="8"/>
        </w:rPr>
        <w:t>实验中使用不适当的引物来扩增</w:t>
      </w:r>
      <w:r>
        <w:rPr>
          <w:rStyle w:val="any"/>
          <w:rFonts w:ascii="Times New Roman" w:eastAsia="Times New Roman" w:hAnsi="Times New Roman" w:cs="Times New Roman"/>
          <w:spacing w:val="8"/>
        </w:rPr>
        <w:t>U6 snRNA</w:t>
      </w:r>
      <w:r>
        <w:rPr>
          <w:rStyle w:val="any"/>
          <w:rFonts w:ascii="PMingLiU" w:eastAsia="PMingLiU" w:hAnsi="PMingLiU" w:cs="PMingLiU"/>
          <w:spacing w:val="8"/>
        </w:rPr>
        <w:t>（非编码</w:t>
      </w:r>
      <w:r>
        <w:rPr>
          <w:rStyle w:val="any"/>
          <w:rFonts w:ascii="Times New Roman" w:eastAsia="Times New Roman" w:hAnsi="Times New Roman" w:cs="Times New Roman"/>
          <w:spacing w:val="8"/>
        </w:rPr>
        <w:t>RNA</w:t>
      </w:r>
      <w:r>
        <w:rPr>
          <w:rStyle w:val="any"/>
          <w:rFonts w:ascii="PMingLiU" w:eastAsia="PMingLiU" w:hAnsi="PMingLiU" w:cs="PMingLiU"/>
          <w:spacing w:val="8"/>
        </w:rPr>
        <w:t>），通常将其作为假定的</w:t>
      </w:r>
      <w:r>
        <w:rPr>
          <w:rStyle w:val="any"/>
          <w:rFonts w:ascii="Times New Roman" w:eastAsia="Times New Roman" w:hAnsi="Times New Roman" w:cs="Times New Roman"/>
          <w:spacing w:val="8"/>
        </w:rPr>
        <w:t>“</w:t>
      </w:r>
      <w:r>
        <w:rPr>
          <w:rStyle w:val="any"/>
          <w:rFonts w:ascii="PMingLiU" w:eastAsia="PMingLiU" w:hAnsi="PMingLiU" w:cs="PMingLiU"/>
          <w:spacing w:val="8"/>
        </w:rPr>
        <w:t>管家基因</w:t>
      </w:r>
      <w:r>
        <w:rPr>
          <w:rStyle w:val="any"/>
          <w:rFonts w:ascii="Times New Roman" w:eastAsia="Times New Roman" w:hAnsi="Times New Roman" w:cs="Times New Roman"/>
          <w:spacing w:val="8"/>
        </w:rPr>
        <w:t>”</w:t>
      </w:r>
      <w:r>
        <w:rPr>
          <w:rStyle w:val="any"/>
          <w:rFonts w:ascii="PMingLiU" w:eastAsia="PMingLiU" w:hAnsi="PMingLiU" w:cs="PMingLiU"/>
          <w:spacing w:val="8"/>
        </w:rPr>
        <w:t>。最常见的是，材料和方法部分列出的引物是针对信使</w:t>
      </w:r>
      <w:r>
        <w:rPr>
          <w:rStyle w:val="any"/>
          <w:rFonts w:ascii="Times New Roman" w:eastAsia="Times New Roman" w:hAnsi="Times New Roman" w:cs="Times New Roman"/>
          <w:spacing w:val="8"/>
        </w:rPr>
        <w:t>RNA</w:t>
      </w:r>
      <w:r>
        <w:rPr>
          <w:rStyle w:val="any"/>
          <w:rFonts w:ascii="PMingLiU" w:eastAsia="PMingLiU" w:hAnsi="PMingLiU" w:cs="PMingLiU"/>
          <w:spacing w:val="8"/>
        </w:rPr>
        <w:t>（</w:t>
      </w:r>
      <w:r>
        <w:rPr>
          <w:rStyle w:val="any"/>
          <w:rFonts w:ascii="Times New Roman" w:eastAsia="Times New Roman" w:hAnsi="Times New Roman" w:cs="Times New Roman"/>
          <w:spacing w:val="8"/>
        </w:rPr>
        <w:t>mRNA</w:t>
      </w:r>
      <w:r>
        <w:rPr>
          <w:rStyle w:val="any"/>
          <w:rFonts w:ascii="PMingLiU" w:eastAsia="PMingLiU" w:hAnsi="PMingLiU" w:cs="PMingLiU"/>
          <w:spacing w:val="8"/>
        </w:rPr>
        <w:t>）如</w:t>
      </w:r>
      <w:r>
        <w:rPr>
          <w:rStyle w:val="any"/>
          <w:rFonts w:ascii="Times New Roman" w:eastAsia="Times New Roman" w:hAnsi="Times New Roman" w:cs="Times New Roman"/>
          <w:spacing w:val="8"/>
        </w:rPr>
        <w:t>LSM5</w:t>
      </w:r>
      <w:r>
        <w:rPr>
          <w:rStyle w:val="any"/>
          <w:rFonts w:ascii="PMingLiU" w:eastAsia="PMingLiU" w:hAnsi="PMingLiU" w:cs="PMingLiU"/>
          <w:spacing w:val="8"/>
        </w:rPr>
        <w:t>、</w:t>
      </w:r>
      <w:r>
        <w:rPr>
          <w:rStyle w:val="any"/>
          <w:rFonts w:ascii="Times New Roman" w:eastAsia="Times New Roman" w:hAnsi="Times New Roman" w:cs="Times New Roman"/>
          <w:spacing w:val="8"/>
        </w:rPr>
        <w:t>LSM6</w:t>
      </w:r>
      <w:r>
        <w:rPr>
          <w:rStyle w:val="any"/>
          <w:rFonts w:ascii="PMingLiU" w:eastAsia="PMingLiU" w:hAnsi="PMingLiU" w:cs="PMingLiU"/>
          <w:spacing w:val="8"/>
        </w:rPr>
        <w:t>或</w:t>
      </w:r>
      <w:r>
        <w:rPr>
          <w:rStyle w:val="any"/>
          <w:rFonts w:ascii="Times New Roman" w:eastAsia="Times New Roman" w:hAnsi="Times New Roman" w:cs="Times New Roman"/>
          <w:spacing w:val="8"/>
        </w:rPr>
        <w:t>SNRNP27</w:t>
      </w:r>
      <w:r>
        <w:rPr>
          <w:rStyle w:val="any"/>
          <w:rFonts w:ascii="PMingLiU" w:eastAsia="PMingLiU" w:hAnsi="PMingLiU" w:cs="PMingLiU"/>
          <w:spacing w:val="8"/>
        </w:rPr>
        <w:t>，而不是针对</w:t>
      </w:r>
      <w:r>
        <w:rPr>
          <w:rStyle w:val="any"/>
          <w:rFonts w:ascii="Times New Roman" w:eastAsia="Times New Roman" w:hAnsi="Times New Roman" w:cs="Times New Roman"/>
          <w:spacing w:val="8"/>
        </w:rPr>
        <w:t>U6</w:t>
      </w:r>
      <w:r>
        <w:rPr>
          <w:rStyle w:val="any"/>
          <w:rFonts w:ascii="PMingLiU" w:eastAsia="PMingLiU" w:hAnsi="PMingLiU" w:cs="PMingLiU"/>
          <w:spacing w:val="8"/>
        </w:rPr>
        <w:t>。此外，这些文章的特点是呈现相同的错误引物序列，尽管没有确认任何常见的商业来源，也没有引用任何原始文章作为错误序列的来源。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鉴于不同的研究小组不太可能在十多年内独立地犯下完全相同的错误，将</w:t>
      </w:r>
      <w:r>
        <w:rPr>
          <w:rStyle w:val="any"/>
          <w:rFonts w:ascii="Times New Roman" w:eastAsia="Times New Roman" w:hAnsi="Times New Roman" w:cs="Times New Roman"/>
          <w:spacing w:val="8"/>
        </w:rPr>
        <w:t>snRNA U6</w:t>
      </w:r>
      <w:r>
        <w:rPr>
          <w:rStyle w:val="any"/>
          <w:rFonts w:ascii="PMingLiU" w:eastAsia="PMingLiU" w:hAnsi="PMingLiU" w:cs="PMingLiU"/>
          <w:spacing w:val="8"/>
        </w:rPr>
        <w:t>与信使</w:t>
      </w:r>
      <w:r>
        <w:rPr>
          <w:rStyle w:val="any"/>
          <w:rFonts w:ascii="Times New Roman" w:eastAsia="Times New Roman" w:hAnsi="Times New Roman" w:cs="Times New Roman"/>
          <w:spacing w:val="8"/>
        </w:rPr>
        <w:t>RNA</w:t>
      </w:r>
      <w:r>
        <w:rPr>
          <w:rStyle w:val="any"/>
          <w:rFonts w:ascii="PMingLiU" w:eastAsia="PMingLiU" w:hAnsi="PMingLiU" w:cs="PMingLiU"/>
          <w:spacing w:val="8"/>
        </w:rPr>
        <w:t>混淆，并且为这个错误的目标设计完全相同的引物（在每个目标有数百或数千对可能的引物对中），这些文章可能存在其他共同的元素。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我在许多这类文章中观察到以下一种或多种现象。请注意，并非所有文章都具备这些特征，也并非所有文章都能在以下列表中找到某些特定元素：</w:t>
      </w:r>
    </w:p>
    <w:p>
      <w:pPr>
        <w:pStyle w:val="p"/>
        <w:numPr>
          <w:ilvl w:val="0"/>
          <w:numId w:val="3"/>
        </w:numPr>
        <w:pBdr>
          <w:top w:val="none" w:sz="0" w:space="0" w:color="auto"/>
          <w:left w:val="none" w:sz="0" w:space="0" w:color="auto"/>
          <w:bottom w:val="none" w:sz="0" w:space="0" w:color="auto"/>
          <w:right w:val="none" w:sz="0" w:space="0" w:color="auto"/>
        </w:pBdr>
        <w:spacing w:before="0" w:after="120" w:line="384" w:lineRule="atLeast"/>
        <w:ind w:left="300" w:right="300" w:hanging="280"/>
        <w:jc w:val="left"/>
        <w:rPr>
          <w:rStyle w:val="any"/>
          <w:rFonts w:ascii="Times New Roman" w:eastAsia="Times New Roman" w:hAnsi="Times New Roman" w:cs="Times New Roman"/>
          <w:spacing w:val="8"/>
        </w:rPr>
      </w:pPr>
      <w:r>
        <w:rPr>
          <w:rStyle w:val="any"/>
          <w:rFonts w:ascii="PMingLiU" w:eastAsia="PMingLiU" w:hAnsi="PMingLiU" w:cs="PMingLiU"/>
          <w:spacing w:val="8"/>
        </w:rPr>
        <w:t>大多数文章描述了</w:t>
      </w:r>
      <w:r>
        <w:rPr>
          <w:rStyle w:val="any"/>
          <w:rFonts w:ascii="Times New Roman" w:eastAsia="Times New Roman" w:hAnsi="Times New Roman" w:cs="Times New Roman"/>
          <w:spacing w:val="8"/>
        </w:rPr>
        <w:t>microRNA</w:t>
      </w:r>
      <w:r>
        <w:rPr>
          <w:rStyle w:val="any"/>
          <w:rFonts w:ascii="PMingLiU" w:eastAsia="PMingLiU" w:hAnsi="PMingLiU" w:cs="PMingLiU"/>
          <w:spacing w:val="8"/>
        </w:rPr>
        <w:t>、</w:t>
      </w:r>
      <w:r>
        <w:rPr>
          <w:rStyle w:val="any"/>
          <w:rFonts w:ascii="Times New Roman" w:eastAsia="Times New Roman" w:hAnsi="Times New Roman" w:cs="Times New Roman"/>
          <w:spacing w:val="8"/>
        </w:rPr>
        <w:t>lncRNA</w:t>
      </w:r>
      <w:r>
        <w:rPr>
          <w:rStyle w:val="any"/>
          <w:rFonts w:ascii="PMingLiU" w:eastAsia="PMingLiU" w:hAnsi="PMingLiU" w:cs="PMingLiU"/>
          <w:spacing w:val="8"/>
        </w:rPr>
        <w:t>和</w:t>
      </w:r>
      <w:r>
        <w:rPr>
          <w:rStyle w:val="any"/>
          <w:rFonts w:ascii="Times New Roman" w:eastAsia="Times New Roman" w:hAnsi="Times New Roman" w:cs="Times New Roman"/>
          <w:spacing w:val="8"/>
        </w:rPr>
        <w:t>/</w:t>
      </w:r>
      <w:r>
        <w:rPr>
          <w:rStyle w:val="any"/>
          <w:rFonts w:ascii="PMingLiU" w:eastAsia="PMingLiU" w:hAnsi="PMingLiU" w:cs="PMingLiU"/>
          <w:spacing w:val="8"/>
        </w:rPr>
        <w:t>或</w:t>
      </w:r>
      <w:r>
        <w:rPr>
          <w:rStyle w:val="any"/>
          <w:rFonts w:ascii="Times New Roman" w:eastAsia="Times New Roman" w:hAnsi="Times New Roman" w:cs="Times New Roman"/>
          <w:spacing w:val="8"/>
        </w:rPr>
        <w:t>circRNA</w:t>
      </w:r>
      <w:r>
        <w:rPr>
          <w:rStyle w:val="any"/>
          <w:rFonts w:ascii="PMingLiU" w:eastAsia="PMingLiU" w:hAnsi="PMingLiU" w:cs="PMingLiU"/>
          <w:spacing w:val="8"/>
        </w:rPr>
        <w:t>对特定</w:t>
      </w:r>
      <w:r>
        <w:rPr>
          <w:rStyle w:val="any"/>
          <w:rFonts w:ascii="Times New Roman" w:eastAsia="Times New Roman" w:hAnsi="Times New Roman" w:cs="Times New Roman"/>
          <w:spacing w:val="8"/>
        </w:rPr>
        <w:t>“</w:t>
      </w:r>
      <w:r>
        <w:rPr>
          <w:rStyle w:val="any"/>
          <w:rFonts w:ascii="PMingLiU" w:eastAsia="PMingLiU" w:hAnsi="PMingLiU" w:cs="PMingLiU"/>
          <w:spacing w:val="8"/>
        </w:rPr>
        <w:t>轴</w:t>
      </w:r>
      <w:r>
        <w:rPr>
          <w:rStyle w:val="any"/>
          <w:rFonts w:ascii="Times New Roman" w:eastAsia="Times New Roman" w:hAnsi="Times New Roman" w:cs="Times New Roman"/>
          <w:spacing w:val="8"/>
        </w:rPr>
        <w:t>”</w:t>
      </w:r>
      <w:r>
        <w:rPr>
          <w:rStyle w:val="any"/>
          <w:rFonts w:ascii="PMingLiU" w:eastAsia="PMingLiU" w:hAnsi="PMingLiU" w:cs="PMingLiU"/>
          <w:spacing w:val="8"/>
        </w:rPr>
        <w:t>或途径的调控。</w:t>
      </w:r>
    </w:p>
    <w:p>
      <w:pPr>
        <w:pStyle w:val="p"/>
        <w:numPr>
          <w:ilvl w:val="0"/>
          <w:numId w:val="3"/>
        </w:numPr>
        <w:pBdr>
          <w:top w:val="none" w:sz="0" w:space="0" w:color="auto"/>
          <w:left w:val="none" w:sz="0" w:space="0" w:color="auto"/>
          <w:bottom w:val="none" w:sz="0" w:space="0" w:color="auto"/>
          <w:right w:val="none" w:sz="0" w:space="0" w:color="auto"/>
        </w:pBdr>
        <w:spacing w:before="0" w:after="120" w:line="384" w:lineRule="atLeast"/>
        <w:ind w:left="300" w:right="300" w:hanging="280"/>
        <w:jc w:val="left"/>
        <w:rPr>
          <w:rStyle w:val="any"/>
          <w:rFonts w:ascii="Times New Roman" w:eastAsia="Times New Roman" w:hAnsi="Times New Roman" w:cs="Times New Roman"/>
          <w:spacing w:val="8"/>
        </w:rPr>
      </w:pPr>
      <w:r>
        <w:rPr>
          <w:rStyle w:val="any"/>
          <w:rFonts w:ascii="PMingLiU" w:eastAsia="PMingLiU" w:hAnsi="PMingLiU" w:cs="PMingLiU"/>
          <w:spacing w:val="8"/>
        </w:rPr>
        <w:t>许多文章的</w:t>
      </w:r>
      <w:r>
        <w:rPr>
          <w:rStyle w:val="any"/>
          <w:rFonts w:ascii="Times New Roman" w:eastAsia="Times New Roman" w:hAnsi="Times New Roman" w:cs="Times New Roman"/>
          <w:spacing w:val="8"/>
        </w:rPr>
        <w:t>qPCR</w:t>
      </w:r>
      <w:r>
        <w:rPr>
          <w:rStyle w:val="any"/>
          <w:rFonts w:ascii="PMingLiU" w:eastAsia="PMingLiU" w:hAnsi="PMingLiU" w:cs="PMingLiU"/>
          <w:spacing w:val="8"/>
        </w:rPr>
        <w:t>引物不仅仅存在于</w:t>
      </w:r>
      <w:r>
        <w:rPr>
          <w:rStyle w:val="any"/>
          <w:rFonts w:ascii="Times New Roman" w:eastAsia="Times New Roman" w:hAnsi="Times New Roman" w:cs="Times New Roman"/>
          <w:spacing w:val="8"/>
        </w:rPr>
        <w:t>U6</w:t>
      </w:r>
      <w:r>
        <w:rPr>
          <w:rStyle w:val="any"/>
          <w:rFonts w:ascii="PMingLiU" w:eastAsia="PMingLiU" w:hAnsi="PMingLiU" w:cs="PMingLiU"/>
          <w:spacing w:val="8"/>
        </w:rPr>
        <w:t>上，还有其他目标。</w:t>
      </w:r>
    </w:p>
    <w:p>
      <w:pPr>
        <w:pStyle w:val="p"/>
        <w:numPr>
          <w:ilvl w:val="0"/>
          <w:numId w:val="3"/>
        </w:numPr>
        <w:pBdr>
          <w:top w:val="none" w:sz="0" w:space="0" w:color="auto"/>
          <w:left w:val="none" w:sz="0" w:space="0" w:color="auto"/>
          <w:bottom w:val="none" w:sz="0" w:space="0" w:color="auto"/>
          <w:right w:val="none" w:sz="0" w:space="0" w:color="auto"/>
        </w:pBdr>
        <w:spacing w:before="0" w:after="120" w:line="384" w:lineRule="atLeast"/>
        <w:ind w:left="300" w:right="300" w:hanging="280"/>
        <w:jc w:val="left"/>
        <w:rPr>
          <w:rStyle w:val="any"/>
          <w:rFonts w:ascii="Times New Roman" w:eastAsia="Times New Roman" w:hAnsi="Times New Roman" w:cs="Times New Roman"/>
          <w:spacing w:val="8"/>
        </w:rPr>
      </w:pPr>
      <w:r>
        <w:rPr>
          <w:rStyle w:val="any"/>
          <w:rFonts w:ascii="PMingLiU" w:eastAsia="PMingLiU" w:hAnsi="PMingLiU" w:cs="PMingLiU"/>
          <w:spacing w:val="8"/>
        </w:rPr>
        <w:t>许多与</w:t>
      </w:r>
      <w:r>
        <w:rPr>
          <w:rStyle w:val="any"/>
          <w:rFonts w:ascii="Times New Roman" w:eastAsia="Times New Roman" w:hAnsi="Times New Roman" w:cs="Times New Roman"/>
          <w:spacing w:val="8"/>
        </w:rPr>
        <w:t>miRNA</w:t>
      </w:r>
      <w:r>
        <w:rPr>
          <w:rStyle w:val="any"/>
          <w:rFonts w:ascii="PMingLiU" w:eastAsia="PMingLiU" w:hAnsi="PMingLiU" w:cs="PMingLiU"/>
          <w:spacing w:val="8"/>
        </w:rPr>
        <w:t>相关的文章没有描述</w:t>
      </w:r>
      <w:r>
        <w:rPr>
          <w:rStyle w:val="any"/>
          <w:rFonts w:ascii="Times New Roman" w:eastAsia="Times New Roman" w:hAnsi="Times New Roman" w:cs="Times New Roman"/>
          <w:spacing w:val="8"/>
        </w:rPr>
        <w:t>miRNA</w:t>
      </w:r>
      <w:r>
        <w:rPr>
          <w:rStyle w:val="any"/>
          <w:rFonts w:ascii="PMingLiU" w:eastAsia="PMingLiU" w:hAnsi="PMingLiU" w:cs="PMingLiU"/>
          <w:spacing w:val="8"/>
        </w:rPr>
        <w:t>特异性</w:t>
      </w:r>
      <w:r>
        <w:rPr>
          <w:rStyle w:val="any"/>
          <w:rFonts w:ascii="Times New Roman" w:eastAsia="Times New Roman" w:hAnsi="Times New Roman" w:cs="Times New Roman"/>
          <w:spacing w:val="8"/>
        </w:rPr>
        <w:t>cDNA</w:t>
      </w:r>
      <w:r>
        <w:rPr>
          <w:rStyle w:val="any"/>
          <w:rFonts w:ascii="PMingLiU" w:eastAsia="PMingLiU" w:hAnsi="PMingLiU" w:cs="PMingLiU"/>
          <w:spacing w:val="8"/>
        </w:rPr>
        <w:t>生成步骤，这对</w:t>
      </w:r>
      <w:r>
        <w:rPr>
          <w:rStyle w:val="any"/>
          <w:rFonts w:ascii="Times New Roman" w:eastAsia="Times New Roman" w:hAnsi="Times New Roman" w:cs="Times New Roman"/>
          <w:spacing w:val="8"/>
        </w:rPr>
        <w:t>miRNA</w:t>
      </w:r>
      <w:r>
        <w:rPr>
          <w:rStyle w:val="any"/>
          <w:rFonts w:ascii="PMingLiU" w:eastAsia="PMingLiU" w:hAnsi="PMingLiU" w:cs="PMingLiU"/>
          <w:spacing w:val="8"/>
        </w:rPr>
        <w:t>测量是必需的前提，或者在引物层面上显示出混淆关于</w:t>
      </w:r>
      <w:r>
        <w:rPr>
          <w:rStyle w:val="any"/>
          <w:rFonts w:ascii="Times New Roman" w:eastAsia="Times New Roman" w:hAnsi="Times New Roman" w:cs="Times New Roman"/>
          <w:spacing w:val="8"/>
        </w:rPr>
        <w:t>miRNA</w:t>
      </w:r>
      <w:r>
        <w:rPr>
          <w:rStyle w:val="any"/>
          <w:rFonts w:ascii="PMingLiU" w:eastAsia="PMingLiU" w:hAnsi="PMingLiU" w:cs="PMingLiU"/>
          <w:spacing w:val="8"/>
        </w:rPr>
        <w:t>特异性检测的证据。</w:t>
      </w:r>
    </w:p>
    <w:p>
      <w:pPr>
        <w:pStyle w:val="p"/>
        <w:numPr>
          <w:ilvl w:val="0"/>
          <w:numId w:val="3"/>
        </w:numPr>
        <w:pBdr>
          <w:top w:val="none" w:sz="0" w:space="0" w:color="auto"/>
          <w:left w:val="none" w:sz="0" w:space="0" w:color="auto"/>
          <w:bottom w:val="none" w:sz="0" w:space="0" w:color="auto"/>
          <w:right w:val="none" w:sz="0" w:space="0" w:color="auto"/>
        </w:pBdr>
        <w:spacing w:before="0" w:after="120" w:line="384" w:lineRule="atLeast"/>
        <w:ind w:left="300" w:right="300" w:hanging="280"/>
        <w:jc w:val="left"/>
        <w:rPr>
          <w:rStyle w:val="any"/>
          <w:rFonts w:ascii="Times New Roman" w:eastAsia="Times New Roman" w:hAnsi="Times New Roman" w:cs="Times New Roman"/>
          <w:spacing w:val="8"/>
        </w:rPr>
      </w:pPr>
      <w:r>
        <w:rPr>
          <w:rStyle w:val="any"/>
          <w:rFonts w:ascii="PMingLiU" w:eastAsia="PMingLiU" w:hAnsi="PMingLiU" w:cs="PMingLiU"/>
          <w:spacing w:val="8"/>
        </w:rPr>
        <w:t>许多文章只选择一两个目标（例如针对</w:t>
      </w:r>
      <w:r>
        <w:rPr>
          <w:rStyle w:val="any"/>
          <w:rFonts w:ascii="Times New Roman" w:eastAsia="Times New Roman" w:hAnsi="Times New Roman" w:cs="Times New Roman"/>
          <w:spacing w:val="8"/>
        </w:rPr>
        <w:t>miRNA</w:t>
      </w:r>
      <w:r>
        <w:rPr>
          <w:rStyle w:val="any"/>
          <w:rFonts w:ascii="PMingLiU" w:eastAsia="PMingLiU" w:hAnsi="PMingLiU" w:cs="PMingLiU"/>
          <w:spacing w:val="8"/>
        </w:rPr>
        <w:t>的信使</w:t>
      </w:r>
      <w:r>
        <w:rPr>
          <w:rStyle w:val="any"/>
          <w:rFonts w:ascii="Times New Roman" w:eastAsia="Times New Roman" w:hAnsi="Times New Roman" w:cs="Times New Roman"/>
          <w:spacing w:val="8"/>
        </w:rPr>
        <w:t>RNA</w:t>
      </w:r>
      <w:r>
        <w:rPr>
          <w:rStyle w:val="any"/>
          <w:rFonts w:ascii="PMingLiU" w:eastAsia="PMingLiU" w:hAnsi="PMingLiU" w:cs="PMingLiU"/>
          <w:spacing w:val="8"/>
        </w:rPr>
        <w:t>目标或</w:t>
      </w:r>
      <w:r>
        <w:rPr>
          <w:rStyle w:val="any"/>
          <w:rFonts w:ascii="Times New Roman" w:eastAsia="Times New Roman" w:hAnsi="Times New Roman" w:cs="Times New Roman"/>
          <w:spacing w:val="8"/>
        </w:rPr>
        <w:t>miRNA</w:t>
      </w:r>
      <w:r>
        <w:rPr>
          <w:rStyle w:val="any"/>
          <w:rFonts w:ascii="PMingLiU" w:eastAsia="PMingLiU" w:hAnsi="PMingLiU" w:cs="PMingLiU"/>
          <w:spacing w:val="8"/>
        </w:rPr>
        <w:t>对环状</w:t>
      </w:r>
      <w:r>
        <w:rPr>
          <w:rStyle w:val="any"/>
          <w:rFonts w:ascii="Times New Roman" w:eastAsia="Times New Roman" w:hAnsi="Times New Roman" w:cs="Times New Roman"/>
          <w:spacing w:val="8"/>
        </w:rPr>
        <w:t>RNA</w:t>
      </w:r>
      <w:r>
        <w:rPr>
          <w:rStyle w:val="any"/>
          <w:rFonts w:ascii="PMingLiU" w:eastAsia="PMingLiU" w:hAnsi="PMingLiU" w:cs="PMingLiU"/>
          <w:spacing w:val="8"/>
        </w:rPr>
        <w:t>的目标）进行研究，且没有或几乎没有理由说明，尽管预测软件返回了数百或数千个可能的选择。</w:t>
      </w:r>
    </w:p>
    <w:p>
      <w:pPr>
        <w:pStyle w:val="p"/>
        <w:numPr>
          <w:ilvl w:val="0"/>
          <w:numId w:val="3"/>
        </w:numPr>
        <w:pBdr>
          <w:top w:val="none" w:sz="0" w:space="0" w:color="auto"/>
          <w:left w:val="none" w:sz="0" w:space="0" w:color="auto"/>
          <w:bottom w:val="none" w:sz="0" w:space="0" w:color="auto"/>
          <w:right w:val="none" w:sz="0" w:space="0" w:color="auto"/>
        </w:pBdr>
        <w:spacing w:before="0" w:after="120" w:line="384" w:lineRule="atLeast"/>
        <w:ind w:left="300" w:right="300" w:hanging="280"/>
        <w:jc w:val="left"/>
        <w:rPr>
          <w:rStyle w:val="any"/>
          <w:rFonts w:ascii="Times New Roman" w:eastAsia="Times New Roman" w:hAnsi="Times New Roman" w:cs="Times New Roman"/>
          <w:spacing w:val="8"/>
        </w:rPr>
      </w:pPr>
      <w:r>
        <w:rPr>
          <w:rStyle w:val="any"/>
          <w:rFonts w:ascii="PMingLiU" w:eastAsia="PMingLiU" w:hAnsi="PMingLiU" w:cs="PMingLiU"/>
          <w:spacing w:val="8"/>
        </w:rPr>
        <w:t>一些文章不合理地报告在不存在该</w:t>
      </w:r>
      <w:r>
        <w:rPr>
          <w:rStyle w:val="any"/>
          <w:rFonts w:ascii="Times New Roman" w:eastAsia="Times New Roman" w:hAnsi="Times New Roman" w:cs="Times New Roman"/>
          <w:spacing w:val="8"/>
        </w:rPr>
        <w:t>miRNA</w:t>
      </w:r>
      <w:r>
        <w:rPr>
          <w:rStyle w:val="any"/>
          <w:rFonts w:ascii="PMingLiU" w:eastAsia="PMingLiU" w:hAnsi="PMingLiU" w:cs="PMingLiU"/>
          <w:spacing w:val="8"/>
        </w:rPr>
        <w:t>的生物体和</w:t>
      </w:r>
      <w:r>
        <w:rPr>
          <w:rStyle w:val="any"/>
          <w:rFonts w:ascii="Times New Roman" w:eastAsia="Times New Roman" w:hAnsi="Times New Roman" w:cs="Times New Roman"/>
          <w:spacing w:val="8"/>
        </w:rPr>
        <w:t>/</w:t>
      </w:r>
      <w:r>
        <w:rPr>
          <w:rStyle w:val="any"/>
          <w:rFonts w:ascii="PMingLiU" w:eastAsia="PMingLiU" w:hAnsi="PMingLiU" w:cs="PMingLiU"/>
          <w:spacing w:val="8"/>
        </w:rPr>
        <w:t>或组织中测量和操作一个</w:t>
      </w:r>
      <w:r>
        <w:rPr>
          <w:rStyle w:val="any"/>
          <w:rFonts w:ascii="Times New Roman" w:eastAsia="Times New Roman" w:hAnsi="Times New Roman" w:cs="Times New Roman"/>
          <w:spacing w:val="8"/>
        </w:rPr>
        <w:t>miRNA</w:t>
      </w:r>
      <w:r>
        <w:rPr>
          <w:rStyle w:val="any"/>
          <w:rFonts w:ascii="PMingLiU" w:eastAsia="PMingLiU" w:hAnsi="PMingLiU" w:cs="PMingLiU"/>
          <w:spacing w:val="8"/>
        </w:rPr>
        <w:t>。例如，在啮齿类动物的心脏中研究灵长类特异性或胎盘特异性</w:t>
      </w:r>
      <w:r>
        <w:rPr>
          <w:rStyle w:val="any"/>
          <w:rFonts w:ascii="Times New Roman" w:eastAsia="Times New Roman" w:hAnsi="Times New Roman" w:cs="Times New Roman"/>
          <w:spacing w:val="8"/>
        </w:rPr>
        <w:t>miRNA</w:t>
      </w:r>
      <w:r>
        <w:rPr>
          <w:rStyle w:val="any"/>
          <w:rFonts w:ascii="PMingLiU" w:eastAsia="PMingLiU" w:hAnsi="PMingLiU" w:cs="PMingLiU"/>
          <w:spacing w:val="8"/>
        </w:rPr>
        <w:t>。</w:t>
      </w:r>
    </w:p>
    <w:p>
      <w:pPr>
        <w:pStyle w:val="p"/>
        <w:numPr>
          <w:ilvl w:val="0"/>
          <w:numId w:val="3"/>
        </w:numPr>
        <w:pBdr>
          <w:top w:val="none" w:sz="0" w:space="0" w:color="auto"/>
          <w:left w:val="none" w:sz="0" w:space="0" w:color="auto"/>
          <w:bottom w:val="none" w:sz="0" w:space="0" w:color="auto"/>
          <w:right w:val="none" w:sz="0" w:space="0" w:color="auto"/>
        </w:pBdr>
        <w:spacing w:before="0" w:after="120" w:line="384" w:lineRule="atLeast"/>
        <w:ind w:left="300" w:right="300" w:hanging="280"/>
        <w:jc w:val="left"/>
        <w:rPr>
          <w:rStyle w:val="any"/>
          <w:rFonts w:ascii="Times New Roman" w:eastAsia="Times New Roman" w:hAnsi="Times New Roman" w:cs="Times New Roman"/>
          <w:spacing w:val="8"/>
        </w:rPr>
      </w:pPr>
      <w:r>
        <w:rPr>
          <w:rStyle w:val="any"/>
          <w:rFonts w:ascii="PMingLiU" w:eastAsia="PMingLiU" w:hAnsi="PMingLiU" w:cs="PMingLiU"/>
          <w:spacing w:val="8"/>
        </w:rPr>
        <w:t>一些文章已被撤回，许多文章在</w:t>
      </w:r>
      <w:r>
        <w:rPr>
          <w:rStyle w:val="any"/>
          <w:rFonts w:ascii="Times New Roman" w:eastAsia="Times New Roman" w:hAnsi="Times New Roman" w:cs="Times New Roman"/>
          <w:spacing w:val="8"/>
        </w:rPr>
        <w:t>PubPeer</w:t>
      </w:r>
      <w:r>
        <w:rPr>
          <w:rStyle w:val="any"/>
          <w:rFonts w:ascii="PMingLiU" w:eastAsia="PMingLiU" w:hAnsi="PMingLiU" w:cs="PMingLiU"/>
          <w:spacing w:val="8"/>
        </w:rPr>
        <w:t>上有与引物无关的评论，其中许多与明显的图像重复相关。</w:t>
      </w:r>
    </w:p>
    <w:p>
      <w:pPr>
        <w:pStyle w:val="p"/>
        <w:numPr>
          <w:ilvl w:val="0"/>
          <w:numId w:val="3"/>
        </w:numPr>
        <w:pBdr>
          <w:top w:val="none" w:sz="0" w:space="0" w:color="auto"/>
          <w:left w:val="none" w:sz="0" w:space="0" w:color="auto"/>
          <w:bottom w:val="none" w:sz="0" w:space="0" w:color="auto"/>
          <w:right w:val="none" w:sz="0" w:space="0" w:color="auto"/>
        </w:pBdr>
        <w:spacing w:before="0" w:after="0" w:line="384" w:lineRule="atLeast"/>
        <w:ind w:left="300" w:right="300" w:hanging="280"/>
        <w:jc w:val="left"/>
        <w:rPr>
          <w:rStyle w:val="any"/>
          <w:rFonts w:ascii="Times New Roman" w:eastAsia="Times New Roman" w:hAnsi="Times New Roman" w:cs="Times New Roman"/>
          <w:spacing w:val="8"/>
        </w:rPr>
      </w:pPr>
      <w:r>
        <w:rPr>
          <w:rStyle w:val="any"/>
          <w:rFonts w:ascii="PMingLiU" w:eastAsia="PMingLiU" w:hAnsi="PMingLiU" w:cs="PMingLiU"/>
          <w:spacing w:val="8"/>
        </w:rPr>
        <w:t>许多文章遵循某些人认为可识别的图表和</w:t>
      </w:r>
      <w:r>
        <w:rPr>
          <w:rStyle w:val="any"/>
          <w:rFonts w:ascii="Times New Roman" w:eastAsia="Times New Roman" w:hAnsi="Times New Roman" w:cs="Times New Roman"/>
          <w:spacing w:val="8"/>
        </w:rPr>
        <w:t>/</w:t>
      </w:r>
      <w:r>
        <w:rPr>
          <w:rStyle w:val="any"/>
          <w:rFonts w:ascii="PMingLiU" w:eastAsia="PMingLiU" w:hAnsi="PMingLiU" w:cs="PMingLiU"/>
          <w:spacing w:val="8"/>
        </w:rPr>
        <w:t>或图表面板的模式，或在方法和插图的应用上存在共性。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Times New Roman" w:eastAsia="Times New Roman" w:hAnsi="Times New Roman" w:cs="Times New Roman"/>
          <w:spacing w:val="8"/>
        </w:rPr>
        <w:t>21</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主编已撤回该文章。文章发布后，关于文章中图像与之前发表的文章</w:t>
      </w:r>
      <w:r>
        <w:rPr>
          <w:rStyle w:val="any"/>
          <w:rFonts w:ascii="Times New Roman" w:eastAsia="Times New Roman" w:hAnsi="Times New Roman" w:cs="Times New Roman"/>
          <w:spacing w:val="8"/>
        </w:rPr>
        <w:t>[1]</w:t>
      </w:r>
      <w:r>
        <w:rPr>
          <w:rStyle w:val="any"/>
          <w:rFonts w:ascii="PMingLiU" w:eastAsia="PMingLiU" w:hAnsi="PMingLiU" w:cs="PMingLiU"/>
          <w:spacing w:val="8"/>
        </w:rPr>
        <w:t>存在相似性的担忧被提出。作者在要求下未能提供原始数据以供进一步验证。</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因此，主编对该研究中提出的结果和结论不再有信心。</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图像之间的相似性：</w:t>
      </w:r>
      <w:r>
        <w:rPr>
          <w:rStyle w:val="any"/>
          <w:rFonts w:ascii="Times New Roman" w:eastAsia="Times New Roman" w:hAnsi="Times New Roman" w:cs="Times New Roman"/>
          <w:spacing w:val="8"/>
        </w:rPr>
        <w:t xml:space="preserve"> 2F</w:t>
      </w:r>
      <w:r>
        <w:rPr>
          <w:rStyle w:val="any"/>
          <w:rFonts w:ascii="PMingLiU" w:eastAsia="PMingLiU" w:hAnsi="PMingLiU" w:cs="PMingLiU"/>
          <w:spacing w:val="8"/>
        </w:rPr>
        <w:t>与</w:t>
      </w:r>
      <w:r>
        <w:rPr>
          <w:rStyle w:val="any"/>
          <w:rFonts w:ascii="Times New Roman" w:eastAsia="Times New Roman" w:hAnsi="Times New Roman" w:cs="Times New Roman"/>
          <w:spacing w:val="8"/>
        </w:rPr>
        <w:t>6G</w:t>
      </w:r>
      <w:r>
        <w:rPr>
          <w:rStyle w:val="any"/>
          <w:rFonts w:ascii="PMingLiU" w:eastAsia="PMingLiU" w:hAnsi="PMingLiU" w:cs="PMingLiU"/>
          <w:spacing w:val="8"/>
        </w:rPr>
        <w:t>之间的相似性；</w:t>
      </w:r>
      <w:r>
        <w:rPr>
          <w:rStyle w:val="any"/>
          <w:rFonts w:ascii="Times New Roman" w:eastAsia="Times New Roman" w:hAnsi="Times New Roman" w:cs="Times New Roman"/>
          <w:spacing w:val="8"/>
        </w:rPr>
        <w:t xml:space="preserve"> 2G</w:t>
      </w:r>
      <w:r>
        <w:rPr>
          <w:rStyle w:val="any"/>
          <w:rFonts w:ascii="PMingLiU" w:eastAsia="PMingLiU" w:hAnsi="PMingLiU" w:cs="PMingLiU"/>
          <w:spacing w:val="8"/>
        </w:rPr>
        <w:t>与</w:t>
      </w:r>
      <w:r>
        <w:rPr>
          <w:rStyle w:val="any"/>
          <w:rFonts w:ascii="Times New Roman" w:eastAsia="Times New Roman" w:hAnsi="Times New Roman" w:cs="Times New Roman"/>
          <w:spacing w:val="8"/>
        </w:rPr>
        <w:t>4F</w:t>
      </w:r>
      <w:r>
        <w:rPr>
          <w:rStyle w:val="any"/>
          <w:rFonts w:ascii="PMingLiU" w:eastAsia="PMingLiU" w:hAnsi="PMingLiU" w:cs="PMingLiU"/>
          <w:spacing w:val="8"/>
        </w:rPr>
        <w:t>之间的相似性；</w:t>
      </w:r>
      <w:r>
        <w:rPr>
          <w:rStyle w:val="any"/>
          <w:rFonts w:ascii="Times New Roman" w:eastAsia="Times New Roman" w:hAnsi="Times New Roman" w:cs="Times New Roman"/>
          <w:spacing w:val="8"/>
        </w:rPr>
        <w:t xml:space="preserve"> 3B</w:t>
      </w:r>
      <w:r>
        <w:rPr>
          <w:rStyle w:val="any"/>
          <w:rFonts w:ascii="PMingLiU" w:eastAsia="PMingLiU" w:hAnsi="PMingLiU" w:cs="PMingLiU"/>
          <w:spacing w:val="8"/>
        </w:rPr>
        <w:t>与</w:t>
      </w:r>
      <w:r>
        <w:rPr>
          <w:rStyle w:val="any"/>
          <w:rFonts w:ascii="Times New Roman" w:eastAsia="Times New Roman" w:hAnsi="Times New Roman" w:cs="Times New Roman"/>
          <w:spacing w:val="8"/>
        </w:rPr>
        <w:t>3F</w:t>
      </w:r>
      <w:r>
        <w:rPr>
          <w:rStyle w:val="any"/>
          <w:rFonts w:ascii="PMingLiU" w:eastAsia="PMingLiU" w:hAnsi="PMingLiU" w:cs="PMingLiU"/>
          <w:spacing w:val="8"/>
        </w:rPr>
        <w:t>之间的相似性；</w:t>
      </w:r>
      <w:r>
        <w:rPr>
          <w:rStyle w:val="any"/>
          <w:rFonts w:ascii="Times New Roman" w:eastAsia="Times New Roman" w:hAnsi="Times New Roman" w:cs="Times New Roman"/>
          <w:spacing w:val="8"/>
        </w:rPr>
        <w:t xml:space="preserve"> 4G</w:t>
      </w:r>
      <w:r>
        <w:rPr>
          <w:rStyle w:val="any"/>
          <w:rFonts w:ascii="PMingLiU" w:eastAsia="PMingLiU" w:hAnsi="PMingLiU" w:cs="PMingLiU"/>
          <w:spacing w:val="8"/>
        </w:rPr>
        <w:t>与</w:t>
      </w:r>
      <w:r>
        <w:rPr>
          <w:rStyle w:val="any"/>
          <w:rFonts w:ascii="Times New Roman" w:eastAsia="Times New Roman" w:hAnsi="Times New Roman" w:cs="Times New Roman"/>
          <w:spacing w:val="8"/>
        </w:rPr>
        <w:t>6G</w:t>
      </w:r>
      <w:r>
        <w:rPr>
          <w:rStyle w:val="any"/>
          <w:rFonts w:ascii="PMingLiU" w:eastAsia="PMingLiU" w:hAnsi="PMingLiU" w:cs="PMingLiU"/>
          <w:spacing w:val="8"/>
        </w:rPr>
        <w:t>之间的相似性；</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与</w:t>
      </w:r>
      <w:r>
        <w:rPr>
          <w:rStyle w:val="any"/>
          <w:rFonts w:ascii="Times New Roman" w:eastAsia="Times New Roman" w:hAnsi="Times New Roman" w:cs="Times New Roman"/>
          <w:spacing w:val="8"/>
        </w:rPr>
        <w:t>3G</w:t>
      </w:r>
      <w:r>
        <w:rPr>
          <w:rStyle w:val="any"/>
          <w:rFonts w:ascii="PMingLiU" w:eastAsia="PMingLiU" w:hAnsi="PMingLiU" w:cs="PMingLiU"/>
          <w:spacing w:val="8"/>
        </w:rPr>
        <w:t>以及图</w:t>
      </w:r>
      <w:r>
        <w:rPr>
          <w:rStyle w:val="any"/>
          <w:rFonts w:ascii="Times New Roman" w:eastAsia="Times New Roman" w:hAnsi="Times New Roman" w:cs="Times New Roman"/>
          <w:spacing w:val="8"/>
        </w:rPr>
        <w:t>8A</w:t>
      </w:r>
      <w:r>
        <w:rPr>
          <w:rStyle w:val="any"/>
          <w:rFonts w:ascii="PMingLiU" w:eastAsia="PMingLiU" w:hAnsi="PMingLiU" w:cs="PMingLiU"/>
          <w:spacing w:val="8"/>
        </w:rPr>
        <w:t>与</w:t>
      </w:r>
      <w:r>
        <w:rPr>
          <w:rStyle w:val="any"/>
          <w:rFonts w:ascii="Times New Roman" w:eastAsia="Times New Roman" w:hAnsi="Times New Roman" w:cs="Times New Roman"/>
          <w:spacing w:val="8"/>
        </w:rPr>
        <w:t>[1]</w:t>
      </w:r>
      <w:r>
        <w:rPr>
          <w:rStyle w:val="any"/>
          <w:rFonts w:ascii="PMingLiU" w:eastAsia="PMingLiU" w:hAnsi="PMingLiU" w:cs="PMingLiU"/>
          <w:spacing w:val="8"/>
        </w:rPr>
        <w:t>的相似性。</w:t>
      </w:r>
      <w:r>
        <w:rPr>
          <w:rStyle w:val="any"/>
          <w:rFonts w:ascii="Times New Roman" w:eastAsia="Times New Roman" w:hAnsi="Times New Roman" w:cs="Times New Roman"/>
          <w:spacing w:val="8"/>
        </w:rPr>
        <w:t xml:space="preserve"> Bo Tang</w:t>
      </w:r>
      <w:r>
        <w:rPr>
          <w:rStyle w:val="any"/>
          <w:rFonts w:ascii="PMingLiU" w:eastAsia="PMingLiU" w:hAnsi="PMingLiU" w:cs="PMingLiU"/>
          <w:spacing w:val="8"/>
        </w:rPr>
        <w:t>、</w:t>
      </w:r>
      <w:r>
        <w:rPr>
          <w:rStyle w:val="any"/>
          <w:rFonts w:ascii="Times New Roman" w:eastAsia="Times New Roman" w:hAnsi="Times New Roman" w:cs="Times New Roman"/>
          <w:spacing w:val="8"/>
        </w:rPr>
        <w:t>Yi Zhang</w:t>
      </w:r>
      <w:r>
        <w:rPr>
          <w:rStyle w:val="any"/>
          <w:rFonts w:ascii="PMingLiU" w:eastAsia="PMingLiU" w:hAnsi="PMingLiU" w:cs="PMingLiU"/>
          <w:spacing w:val="8"/>
        </w:rPr>
        <w:t>和</w:t>
      </w:r>
      <w:r>
        <w:rPr>
          <w:rStyle w:val="any"/>
          <w:rFonts w:ascii="Times New Roman" w:eastAsia="Times New Roman" w:hAnsi="Times New Roman" w:cs="Times New Roman"/>
          <w:spacing w:val="8"/>
        </w:rPr>
        <w:t>Songqing He</w:t>
      </w:r>
      <w:r>
        <w:rPr>
          <w:rStyle w:val="any"/>
          <w:rFonts w:ascii="PMingLiU" w:eastAsia="PMingLiU" w:hAnsi="PMingLiU" w:cs="PMingLiU"/>
          <w:spacing w:val="8"/>
        </w:rPr>
        <w:t>同意此撤回决定。</w:t>
      </w:r>
      <w:r>
        <w:rPr>
          <w:rStyle w:val="any"/>
          <w:rFonts w:ascii="Times New Roman" w:eastAsia="Times New Roman" w:hAnsi="Times New Roman" w:cs="Times New Roman"/>
          <w:spacing w:val="8"/>
        </w:rPr>
        <w:t>Jun Song</w:t>
      </w:r>
      <w:r>
        <w:rPr>
          <w:rStyle w:val="any"/>
          <w:rFonts w:ascii="PMingLiU" w:eastAsia="PMingLiU" w:hAnsi="PMingLiU" w:cs="PMingLiU"/>
          <w:spacing w:val="8"/>
        </w:rPr>
        <w:t>未对主编</w:t>
      </w:r>
      <w:r>
        <w:rPr>
          <w:rStyle w:val="any"/>
          <w:rFonts w:ascii="Times New Roman" w:eastAsia="Times New Roman" w:hAnsi="Times New Roman" w:cs="Times New Roman"/>
          <w:spacing w:val="8"/>
        </w:rPr>
        <w:t>/</w:t>
      </w:r>
      <w:r>
        <w:rPr>
          <w:rStyle w:val="any"/>
          <w:rFonts w:ascii="PMingLiU" w:eastAsia="PMingLiU" w:hAnsi="PMingLiU" w:cs="PMingLiU"/>
          <w:spacing w:val="8"/>
        </w:rPr>
        <w:t>出版商的撤回请求作出回应。出版商未能找到</w:t>
      </w:r>
      <w:r>
        <w:rPr>
          <w:rStyle w:val="any"/>
          <w:rFonts w:ascii="Times New Roman" w:eastAsia="Times New Roman" w:hAnsi="Times New Roman" w:cs="Times New Roman"/>
          <w:spacing w:val="8"/>
        </w:rPr>
        <w:t>Yang Li</w:t>
      </w:r>
      <w:r>
        <w:rPr>
          <w:rStyle w:val="any"/>
          <w:rFonts w:ascii="PMingLiU" w:eastAsia="PMingLiU" w:hAnsi="PMingLiU" w:cs="PMingLiU"/>
          <w:spacing w:val="8"/>
        </w:rPr>
        <w:t>、</w:t>
      </w:r>
      <w:r>
        <w:rPr>
          <w:rStyle w:val="any"/>
          <w:rFonts w:ascii="Times New Roman" w:eastAsia="Times New Roman" w:hAnsi="Times New Roman" w:cs="Times New Roman"/>
          <w:spacing w:val="8"/>
        </w:rPr>
        <w:t>Shuiping Yu</w:t>
      </w:r>
      <w:r>
        <w:rPr>
          <w:rStyle w:val="any"/>
          <w:rFonts w:ascii="PMingLiU" w:eastAsia="PMingLiU" w:hAnsi="PMingLiU" w:cs="PMingLiU"/>
          <w:spacing w:val="8"/>
        </w:rPr>
        <w:t>和</w:t>
      </w:r>
      <w:r>
        <w:rPr>
          <w:rStyle w:val="any"/>
          <w:rFonts w:ascii="Times New Roman" w:eastAsia="Times New Roman" w:hAnsi="Times New Roman" w:cs="Times New Roman"/>
          <w:spacing w:val="8"/>
        </w:rPr>
        <w:t>Huizhao Su</w:t>
      </w:r>
      <w:r>
        <w:rPr>
          <w:rStyle w:val="any"/>
          <w:rFonts w:ascii="PMingLiU" w:eastAsia="PMingLiU" w:hAnsi="PMingLiU" w:cs="PMingLiU"/>
          <w:spacing w:val="8"/>
        </w:rPr>
        <w:t>当前的电子邮件地址。</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参考文献</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[1] </w:t>
      </w:r>
      <w:r>
        <w:rPr>
          <w:rStyle w:val="any"/>
          <w:rFonts w:ascii="PMingLiU" w:eastAsia="PMingLiU" w:hAnsi="PMingLiU" w:cs="PMingLiU"/>
          <w:spacing w:val="8"/>
        </w:rPr>
        <w:t>撤回文章：</w:t>
      </w:r>
      <w:r>
        <w:rPr>
          <w:rStyle w:val="any"/>
          <w:rFonts w:ascii="Times New Roman" w:eastAsia="Times New Roman" w:hAnsi="Times New Roman" w:cs="Times New Roman"/>
          <w:spacing w:val="8"/>
        </w:rPr>
        <w:t xml:space="preserve">Tang, B., Li, Y., Yuan, S., Tomlinson, S., &amp; He, S. (2013). Upregulation of the δ opioid receptor in liver cancer promotes liver cancer progression both in vitro and in vivo. </w:t>
      </w:r>
      <w:r>
        <w:rPr>
          <w:rStyle w:val="any"/>
          <w:rFonts w:ascii="PMingLiU" w:eastAsia="PMingLiU" w:hAnsi="PMingLiU" w:cs="PMingLiU"/>
          <w:spacing w:val="8"/>
        </w:rPr>
        <w:t>国际肿瘤学杂志，</w:t>
      </w:r>
      <w:r>
        <w:rPr>
          <w:rStyle w:val="any"/>
          <w:rFonts w:ascii="Times New Roman" w:eastAsia="Times New Roman" w:hAnsi="Times New Roman" w:cs="Times New Roman"/>
          <w:spacing w:val="8"/>
        </w:rPr>
        <w:t>43</w:t>
      </w:r>
      <w:r>
        <w:rPr>
          <w:rStyle w:val="any"/>
          <w:rFonts w:ascii="PMingLiU" w:eastAsia="PMingLiU" w:hAnsi="PMingLiU" w:cs="PMingLiU"/>
          <w:spacing w:val="8"/>
        </w:rPr>
        <w:t>，</w:t>
      </w:r>
      <w:r>
        <w:rPr>
          <w:rStyle w:val="any"/>
          <w:rFonts w:ascii="Times New Roman" w:eastAsia="Times New Roman" w:hAnsi="Times New Roman" w:cs="Times New Roman"/>
          <w:spacing w:val="8"/>
        </w:rPr>
        <w:t>1281–1290</w:t>
      </w:r>
      <w:r>
        <w:rPr>
          <w:rStyle w:val="any"/>
          <w:rFonts w:ascii="PMingLiU" w:eastAsia="PMingLiU" w:hAnsi="PMingLiU" w:cs="PMingLiU"/>
          <w:spacing w:val="8"/>
        </w:rPr>
        <w:t>。撤回链接：</w:t>
      </w:r>
      <w:r>
        <w:rPr>
          <w:rStyle w:val="any"/>
          <w:rFonts w:ascii="Times New Roman" w:eastAsia="Times New Roman" w:hAnsi="Times New Roman" w:cs="Times New Roman"/>
          <w:spacing w:val="8"/>
        </w:rPr>
        <w:t>https://doi.org/10.3892/ijo.2023.5504</w:t>
      </w:r>
      <w:r>
        <w:rPr>
          <w:rStyle w:val="any"/>
          <w:rFonts w:ascii="PMingLiU" w:eastAsia="PMingLiU" w:hAnsi="PMingLiU" w:cs="PMingLiU"/>
          <w:spacing w:val="8"/>
        </w:rPr>
        <w:t>。</w:t>
      </w:r>
      <w:r>
        <w:rPr>
          <w:rStyle w:val="any"/>
          <w:rFonts w:ascii="Times New Roman" w:eastAsia="Times New Roman" w:hAnsi="Times New Roman" w:cs="Times New Roman"/>
          <w:spacing w:val="8"/>
        </w:rPr>
        <w:t>https://doi.org/10.3892/ijo.2013.2046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PubPeer</w:t>
      </w:r>
      <w:r>
        <w:rPr>
          <w:rStyle w:val="any"/>
          <w:rFonts w:ascii="PMingLiU" w:eastAsia="PMingLiU" w:hAnsi="PMingLiU" w:cs="PMingLiU"/>
          <w:spacing w:val="8"/>
        </w:rPr>
        <w:t>上有</w:t>
      </w:r>
      <w:r>
        <w:rPr>
          <w:rStyle w:val="any"/>
          <w:rFonts w:ascii="Times New Roman" w:eastAsia="Times New Roman" w:hAnsi="Times New Roman" w:cs="Times New Roman"/>
          <w:spacing w:val="8"/>
        </w:rPr>
        <w:t>5</w:t>
      </w:r>
      <w:r>
        <w:rPr>
          <w:rStyle w:val="any"/>
          <w:rFonts w:ascii="PMingLiU" w:eastAsia="PMingLiU" w:hAnsi="PMingLiU" w:cs="PMingLiU"/>
          <w:spacing w:val="8"/>
        </w:rPr>
        <w:t>条评论（由：</w:t>
      </w:r>
      <w:r>
        <w:rPr>
          <w:rStyle w:val="any"/>
          <w:rFonts w:ascii="Times New Roman" w:eastAsia="Times New Roman" w:hAnsi="Times New Roman" w:cs="Times New Roman"/>
          <w:spacing w:val="8"/>
        </w:rPr>
        <w:t>Hoya Camphorifolia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https://pubpeer.com/publications/7DF6D68031DA70178C417D86FD8180#5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广西医科大学第一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广西医科大学第一附属医院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yNzY3NzY3Nw==&amp;action=getalbum&amp;album_id=3901250411310530563" TargetMode="Externa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859&amp;idx=2&amp;sn=02cacd7a0af26bdc3a36c1fba7756b72&amp;chksm=c3fec9702cefe40d34614748ea5b5f040d79a1d36793093b106f66d8b98b1ddd6c9be67874e4&amp;scene=126&amp;sessionid=174309518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