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82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22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6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b2f614272a984b73cf479e586da67371523c1326e3e814185d7835e1cf675e06f714eab9d3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