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477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9d52b79780c7ef8b26868723943a9b70dc07ec9f385d07c9ac779fcd6980be34ea58dcb545&amp;scene=126&amp;sessionid=17430948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