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南京大学医学院知名附属医院论文图片重复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copyrightlogo"/>
          <w:rFonts w:ascii="PMingLiU" w:eastAsia="PMingLiU" w:hAnsi="PMingLiU" w:cs="PMingLiU"/>
          <w:spacing w:val="8"/>
          <w:sz w:val="23"/>
          <w:szCs w:val="23"/>
        </w:rPr>
        <w:t>原创</w:t>
      </w:r>
      <w:r>
        <w:rPr>
          <w:rStyle w:val="copyrightlogo"/>
          <w:rFonts w:ascii="Times New Roman" w:eastAsia="Times New Roman" w:hAnsi="Times New Roman" w:cs="Times New Roman"/>
          <w:spacing w:val="8"/>
          <w:sz w:val="23"/>
          <w:szCs w:val="23"/>
        </w:rPr>
        <w:t>  </w:t>
      </w: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F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图片重复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2025-03-18 09:06:54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广东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7A4442"/>
          <w:spacing w:val="8"/>
          <w:sz w:val="18"/>
          <w:szCs w:val="18"/>
        </w:rPr>
        <w:t>MiR-200b regulates autophagy associated with chemoresistance in human lung adenocarcinoma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20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Oncotarget</w:t>
      </w: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 (2015)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20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PMID: </w:t>
      </w:r>
      <w:r>
        <w:rPr>
          <w:rStyle w:val="any"/>
          <w:rFonts w:ascii="Times New Roman" w:eastAsia="Times New Roman" w:hAnsi="Times New Roman" w:cs="Times New Roman"/>
          <w:color w:val="515A6E"/>
          <w:spacing w:val="8"/>
          <w:sz w:val="18"/>
          <w:szCs w:val="18"/>
        </w:rPr>
        <w:t>26416454</w:t>
      </w:r>
    </w:p>
    <w:p>
      <w:pPr>
        <w:pStyle w:val="anyParagraph"/>
        <w:spacing w:before="0" w:after="0" w:line="420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DOI: </w:t>
      </w:r>
      <w:r>
        <w:rPr>
          <w:rStyle w:val="any"/>
          <w:rFonts w:ascii="Times New Roman" w:eastAsia="Times New Roman" w:hAnsi="Times New Roman" w:cs="Times New Roman"/>
          <w:color w:val="515A6E"/>
          <w:spacing w:val="8"/>
          <w:sz w:val="18"/>
          <w:szCs w:val="18"/>
        </w:rPr>
        <w:t>10.18632/oncotarget.5352</w:t>
      </w:r>
    </w:p>
    <w:p>
      <w:pPr>
        <w:pStyle w:val="anyParagraph"/>
        <w:pBdr>
          <w:top w:val="none" w:sz="0" w:space="3" w:color="auto"/>
        </w:pBdr>
        <w:spacing w:before="0" w:after="0" w:line="420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AUTHORS </w:t>
      </w:r>
    </w:p>
    <w:p>
      <w:pPr>
        <w:spacing w:before="0" w:after="0" w:line="420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  <w:br/>
      </w: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Banzhou Pan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1</w:t>
      </w: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Bing Feng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1</w:t>
      </w: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Yitian Chen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1</w:t>
      </w: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Guichun Huang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1</w:t>
      </w: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Rui Wang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1</w:t>
      </w: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Longbang Chen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1</w:t>
      </w: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Haizhu Song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1</w:t>
      </w:r>
    </w:p>
    <w:p>
      <w:pPr>
        <w:pStyle w:val="anyParagraph"/>
        <w:pBdr>
          <w:top w:val="none" w:sz="0" w:space="3" w:color="auto"/>
        </w:pBdr>
        <w:spacing w:before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AFFILIATIONS</w:t>
      </w:r>
    </w:p>
    <w:p>
      <w:pPr>
        <w:spacing w:before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8"/>
          <w:sz w:val="18"/>
          <w:szCs w:val="18"/>
          <w:shd w:val="clear" w:color="auto" w:fill="F5F5F5"/>
        </w:rPr>
        <w:t>1</w:t>
      </w:r>
      <w:r>
        <w:rPr>
          <w:rStyle w:val="any"/>
          <w:rFonts w:ascii="Times New Roman" w:eastAsia="Times New Roman" w:hAnsi="Times New Roman" w:cs="Times New Roman"/>
          <w:color w:val="515A6E"/>
          <w:spacing w:val="8"/>
          <w:sz w:val="18"/>
          <w:szCs w:val="18"/>
        </w:rPr>
        <w:t>Department of Medical Oncology, Jinling Hospital, School of Medicine, Nanjing University, Nanjing 210002, China.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2D8CF0"/>
          <w:spacing w:val="8"/>
          <w:sz w:val="18"/>
          <w:szCs w:val="18"/>
        </w:rPr>
        <w:t>#1</w:t>
      </w:r>
      <w:r>
        <w:rPr>
          <w:rStyle w:val="any"/>
          <w:rFonts w:ascii="Times New Roman" w:eastAsia="Times New Roman" w:hAnsi="Times New Roman" w:cs="Times New Roman"/>
          <w:b/>
          <w:bCs/>
          <w:color w:val="333333"/>
          <w:spacing w:val="8"/>
          <w:sz w:val="18"/>
          <w:szCs w:val="18"/>
        </w:rPr>
        <w:t>Hoya Camphorifolia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9900"/>
          <w:spacing w:val="8"/>
          <w:sz w:val="18"/>
          <w:szCs w:val="18"/>
        </w:rPr>
        <w:t>2year ago</w:t>
      </w:r>
    </w:p>
    <w:p>
      <w:pPr>
        <w:pStyle w:val="anyParagraph"/>
        <w:numPr>
          <w:ilvl w:val="0"/>
          <w:numId w:val="2"/>
        </w:numPr>
        <w:spacing w:before="0" w:after="0" w:line="384" w:lineRule="atLeast"/>
        <w:ind w:left="780" w:right="300" w:hanging="21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i/>
          <w:iCs/>
          <w:spacing w:val="8"/>
          <w:sz w:val="18"/>
          <w:szCs w:val="18"/>
        </w:rPr>
        <w:t>[left]</w:t>
      </w:r>
    </w:p>
    <w:p>
      <w:pPr>
        <w:spacing w:before="0" w:after="0" w:line="384" w:lineRule="atLeast"/>
        <w:ind w:left="78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18"/>
          <w:szCs w:val="18"/>
        </w:rPr>
        <w:t> Fig 8C from "HMGB1-mediated autophagy promotes docetaxel resistance in human lung adenocarcinoma" (</w:t>
      </w:r>
      <w:r>
        <w:rPr>
          <w:rStyle w:val="any"/>
          <w:rFonts w:ascii="Times New Roman" w:eastAsia="Times New Roman" w:hAnsi="Times New Roman" w:cs="Times New Roman"/>
          <w:spacing w:val="8"/>
          <w:sz w:val="18"/>
          <w:szCs w:val="18"/>
        </w:rPr>
        <w:t>Pan et al 2014</w:t>
      </w:r>
      <w:r>
        <w:rPr>
          <w:rStyle w:val="any"/>
          <w:rFonts w:ascii="Times New Roman" w:eastAsia="Times New Roman" w:hAnsi="Times New Roman" w:cs="Times New Roman"/>
          <w:spacing w:val="8"/>
          <w:sz w:val="18"/>
          <w:szCs w:val="18"/>
        </w:rPr>
        <w:t>).</w:t>
      </w:r>
    </w:p>
    <w:p>
      <w:pPr>
        <w:pStyle w:val="anyParagraph"/>
        <w:numPr>
          <w:ilvl w:val="0"/>
          <w:numId w:val="2"/>
        </w:numPr>
        <w:spacing w:before="0" w:after="240" w:line="384" w:lineRule="atLeast"/>
        <w:ind w:left="780" w:right="300" w:hanging="21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i/>
          <w:iCs/>
          <w:spacing w:val="8"/>
          <w:sz w:val="18"/>
          <w:szCs w:val="18"/>
        </w:rPr>
        <w:t>[right]</w:t>
      </w:r>
    </w:p>
    <w:p>
      <w:pPr>
        <w:spacing w:before="0" w:after="240" w:line="384" w:lineRule="atLeast"/>
        <w:ind w:left="78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Fig 6C</w:t>
      </w:r>
      <w:r>
        <w:rPr>
          <w:rStyle w:val="any"/>
          <w:rFonts w:ascii="Times New Roman" w:eastAsia="Times New Roman" w:hAnsi="Times New Roman" w:cs="Times New Roman"/>
          <w:spacing w:val="8"/>
          <w:sz w:val="18"/>
          <w:szCs w:val="18"/>
        </w:rPr>
        <w:t>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433320"/>
            <wp:docPr id="100001" name="" descr="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18866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33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spacing w:val="8"/>
          <w:sz w:val="18"/>
          <w:szCs w:val="18"/>
        </w:rPr>
        <w:t>Could the authors check whether the indicated panels were stained for Ki67 or for PCNA?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2D8CF0"/>
          <w:spacing w:val="8"/>
          <w:sz w:val="18"/>
          <w:szCs w:val="18"/>
        </w:rPr>
        <w:t>#2</w:t>
      </w:r>
      <w:r>
        <w:rPr>
          <w:rStyle w:val="any"/>
          <w:rFonts w:ascii="Times New Roman" w:eastAsia="Times New Roman" w:hAnsi="Times New Roman" w:cs="Times New Roman"/>
          <w:b/>
          <w:bCs/>
          <w:color w:val="333333"/>
          <w:spacing w:val="8"/>
          <w:sz w:val="18"/>
          <w:szCs w:val="18"/>
        </w:rPr>
        <w:t>Hoya Camphorifolia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9900"/>
          <w:spacing w:val="8"/>
          <w:sz w:val="18"/>
          <w:szCs w:val="18"/>
        </w:rPr>
        <w:t>2year ago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18"/>
          <w:szCs w:val="18"/>
        </w:rPr>
        <w:t>Figs 1C, 2G. Elements repeat across panels.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68180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216136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681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18"/>
          <w:szCs w:val="18"/>
        </w:rPr>
        <w:t>#3</w:t>
      </w:r>
      <w:r>
        <w:rPr>
          <w:rStyle w:val="any"/>
          <w:rFonts w:ascii="Times New Roman" w:eastAsia="Times New Roman" w:hAnsi="Times New Roman" w:cs="Times New Roman"/>
          <w:b/>
          <w:bCs/>
          <w:color w:val="333333"/>
          <w:spacing w:val="8"/>
          <w:sz w:val="18"/>
          <w:szCs w:val="18"/>
        </w:rPr>
        <w:t>Hoya Camphorifolia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9900"/>
          <w:spacing w:val="8"/>
          <w:sz w:val="18"/>
          <w:szCs w:val="18"/>
        </w:rPr>
        <w:t>2year ago</w:t>
      </w:r>
    </w:p>
    <w:p>
      <w:pPr>
        <w:pStyle w:val="anyParagraph"/>
        <w:numPr>
          <w:ilvl w:val="0"/>
          <w:numId w:val="3"/>
        </w:numPr>
        <w:spacing w:before="0" w:after="0" w:line="384" w:lineRule="atLeast"/>
        <w:ind w:left="780" w:right="300" w:hanging="21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i/>
          <w:iCs/>
          <w:spacing w:val="8"/>
          <w:sz w:val="18"/>
          <w:szCs w:val="18"/>
        </w:rPr>
        <w:t>[left]</w:t>
      </w:r>
    </w:p>
    <w:p>
      <w:pPr>
        <w:spacing w:before="0" w:after="0" w:line="384" w:lineRule="atLeast"/>
        <w:ind w:left="78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18"/>
          <w:szCs w:val="18"/>
        </w:rPr>
        <w:t> Fig 4D from </w:t>
      </w:r>
      <w:r>
        <w:rPr>
          <w:rStyle w:val="any"/>
          <w:rFonts w:ascii="Times New Roman" w:eastAsia="Times New Roman" w:hAnsi="Times New Roman" w:cs="Times New Roman"/>
          <w:spacing w:val="8"/>
          <w:sz w:val="18"/>
          <w:szCs w:val="18"/>
        </w:rPr>
        <w:t>Pan et al (2014)</w:t>
      </w:r>
      <w:r>
        <w:rPr>
          <w:rStyle w:val="any"/>
          <w:rFonts w:ascii="Times New Roman" w:eastAsia="Times New Roman" w:hAnsi="Times New Roman" w:cs="Times New Roman"/>
          <w:spacing w:val="8"/>
          <w:sz w:val="18"/>
          <w:szCs w:val="18"/>
        </w:rPr>
        <w:t>.</w:t>
      </w:r>
    </w:p>
    <w:p>
      <w:pPr>
        <w:pStyle w:val="anyParagraph"/>
        <w:numPr>
          <w:ilvl w:val="0"/>
          <w:numId w:val="3"/>
        </w:numPr>
        <w:spacing w:before="0" w:after="240" w:line="384" w:lineRule="atLeast"/>
        <w:ind w:left="780" w:right="300" w:hanging="21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i/>
          <w:iCs/>
          <w:spacing w:val="8"/>
          <w:sz w:val="18"/>
          <w:szCs w:val="18"/>
        </w:rPr>
        <w:t>[right]</w:t>
      </w:r>
    </w:p>
    <w:p>
      <w:pPr>
        <w:spacing w:before="0" w:after="240" w:line="384" w:lineRule="atLeast"/>
        <w:ind w:left="78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Fig 4B</w:t>
      </w:r>
      <w:r>
        <w:rPr>
          <w:rStyle w:val="any"/>
          <w:rFonts w:ascii="Times New Roman" w:eastAsia="Times New Roman" w:hAnsi="Times New Roman" w:cs="Times New Roman"/>
          <w:spacing w:val="8"/>
          <w:sz w:val="18"/>
          <w:szCs w:val="18"/>
        </w:rPr>
        <w:t>.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677794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73610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77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18"/>
          <w:szCs w:val="18"/>
        </w:rPr>
        <w:t>#4</w:t>
      </w:r>
      <w:r>
        <w:rPr>
          <w:rStyle w:val="any"/>
          <w:rFonts w:ascii="Times New Roman" w:eastAsia="Times New Roman" w:hAnsi="Times New Roman" w:cs="Times New Roman"/>
          <w:b/>
          <w:bCs/>
          <w:color w:val="333333"/>
          <w:spacing w:val="8"/>
          <w:sz w:val="18"/>
          <w:szCs w:val="18"/>
        </w:rPr>
        <w:t>Sholto David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9900"/>
          <w:spacing w:val="8"/>
          <w:sz w:val="18"/>
          <w:szCs w:val="18"/>
        </w:rPr>
        <w:t>2 month ago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18"/>
          <w:szCs w:val="18"/>
        </w:rPr>
        <w:t>Extending the previous analysis with the pink rectangles.</w:t>
      </w:r>
    </w:p>
    <w:p>
      <w:pPr>
        <w:spacing w:before="0" w:after="0" w:line="384" w:lineRule="atLeast"/>
        <w:ind w:left="315" w:right="315"/>
        <w:rPr>
          <w:rStyle w:val="any"/>
          <w:rFonts w:ascii="Times New Roman" w:eastAsia="Times New Roman" w:hAnsi="Times New Roman" w:cs="Times New Roman"/>
          <w:color w:val="808080"/>
          <w:spacing w:val="8"/>
        </w:rPr>
      </w:pPr>
      <w:r>
        <w:pict>
          <v:rect id="_x0000_i1025" style="width:6in;height:1.5pt" o:hrpct="1000" o:hrstd="t" o:hr="t" filled="t" fillcolor="gray" stroked="f">
            <v:path strokeok="f"/>
          </v:rect>
        </w:pic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500338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327960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00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2D8CF0"/>
          <w:spacing w:val="8"/>
          <w:sz w:val="18"/>
          <w:szCs w:val="18"/>
        </w:rPr>
        <w:t>#5</w:t>
      </w:r>
      <w:r>
        <w:rPr>
          <w:rStyle w:val="any"/>
          <w:rFonts w:ascii="Times New Roman" w:eastAsia="Times New Roman" w:hAnsi="Times New Roman" w:cs="Times New Roman"/>
          <w:b/>
          <w:bCs/>
          <w:color w:val="333333"/>
          <w:spacing w:val="8"/>
          <w:sz w:val="18"/>
          <w:szCs w:val="18"/>
        </w:rPr>
        <w:t>Arceuthobium Divaricatum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9900"/>
          <w:spacing w:val="8"/>
          <w:sz w:val="18"/>
          <w:szCs w:val="18"/>
        </w:rPr>
        <w:t>1 hours ago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18"/>
          <w:szCs w:val="18"/>
        </w:rPr>
        <w:t>Much more similar than expected. Similarities detected by ImageTwin.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590854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611434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590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suff w:val="nothing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>
    <w:nsid w:val="00000002"/>
    <w:multiLevelType w:val="hybridMultilevel"/>
    <w:tmpl w:val="0000000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">
    <w:nsid w:val="00000003"/>
    <w:multiLevelType w:val="hybridMultilevel"/>
    <w:tmpl w:val="00000003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copyrightlogo">
    <w:name w:val="copyright_logo"/>
    <w:basedOn w:val="DefaultParagraphFont"/>
    <w:rPr>
      <w:color w:val="BDBDBD"/>
    </w:rPr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g5MTg0MDc4NQ==&amp;mid=2247493272&amp;idx=1&amp;sn=0353b29a84907372986ac5bdca9a5532&amp;chksm=ce85830832f53dfc204850c5634ce9e1c9bc80354feb2f0e510658e21d7d8a85e1c99914e1a5&amp;scene=126&amp;sessionid=1743094819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