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首都医科大学附属北京天坛医院骨科副主任研究撤稿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15:56:41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5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近日，发表于《International Orthopaedics》期刊的研究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‘Impact of congenital spinal stenosis on the outcome of three-level anterior cervical discectomy and fusion in patients with cervical spondylotic myelopathy: a retrospective study’因数据所有权问题被撤回。该研究由Yibo Liu、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Zheng Zeng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（通讯作者，副主任）和Shuanghe Liu共同完成，通讯单位为首都医科大学附属北京天坛医院骨科。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597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95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77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撤稿信息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2025年3月评论人Hoya camphorifolia发布了本文的撤稿声明：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“主编已撤回这篇文章，因为作者表示他们不拥有此处报告的患者数据的所有权。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所有作者都同意这次撤回。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https://www.pubpeer.org/publications/6C13F34A072A93DBF1CAD2557C15BE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34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3774&amp;idx=1&amp;sn=6bcf5540c59e0867fc7424745b387825&amp;chksm=c3fbd2641386fa7b0b4ba16f92682f34e697cb51f51376e93001e67173c25db14f71b150196d&amp;scene=126&amp;sessionid=17431510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