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70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26778"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00005"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1317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83a2a37dcbecaa521394b3c9ab0db7da0150f8077edf844823888d7c638f03aab0b81013f0&amp;scene=126&amp;sessionid=17428338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