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发现多幅图像与先前文献相似，广州医科大学附属第三医院张平的论文被撤稿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35414033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51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79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2022年4月12日，广州医科大学附属第三医院骨科在Journal of Orthopaedic Surgery and Research（中科院三区 IF=2.8）期刊上在线发表题为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"High-mobility group box chromosomal protein-1 deletion alleviates osteoporosis in OVX rat model via suppressing the osteoclastogenesis and inflammation"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(通过抑制破骨细胞生成和炎症，缺失高迁移率组染色体盒蛋白-1可减轻卵巢切除大鼠模型的骨质疏松症)论文。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Haotao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Ping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本研究得到了广东省科技发展专项基金（项目编号：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2017ZC0255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96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1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广州医科大学附属第三医院_在线专家问诊_看病住院_怎么样_地址_就诊攻略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01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1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4F from "SIRT6 promotes ferroptosis and attenuates glycolysis in pancreatic cancer through regulation of the NF-κB pathway" (Gong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5I.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64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26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55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'Sham' panels also overlap after a rotation.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3238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52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7133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03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8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https://pubpeer.com/publications/9FE8B934B50803F43182EA46E66689#7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https://pubmed.ncbi.nlm.nih.gov/35414033/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https://josr-online.biomedcentral.com/articles/10.1186/s13018-025-05623-4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0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23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2&amp;sn=3e83879b35005edd1838823f73357f8e&amp;chksm=c33aa9d01e560903b2af253599220751da56373233ccadfbefc89d58401d4e3ad7895deeee79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