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随机筛查案例公开｜大连医科大学二级教授刘彩刚论文和其他论文结果交叉重复。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10:39:19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t>。 。</w:t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395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90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6"/>
          <w:szCs w:val="26"/>
        </w:rPr>
        <w:t>头对头比较对象：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“诚信科研”宣扬IFigures对大连医科大学刘彩刚的查重结果，具体链接为：</w:t>
      </w:r>
      <w:hyperlink r:id="rId8" w:anchor="wechat_redirect" w:tgtFrame="_blank" w:history="1">
        <w:r>
          <w:rPr>
            <w:rStyle w:val="any"/>
            <w:rFonts w:ascii="Microsoft YaHei UI" w:eastAsia="Microsoft YaHei UI" w:hAnsi="Microsoft YaHei UI" w:cs="Microsoft YaHei UI"/>
            <w:b w:val="0"/>
            <w:bCs w:val="0"/>
            <w:i w:val="0"/>
            <w:iCs w:val="0"/>
            <w:color w:val="576B95"/>
            <w:spacing w:val="9"/>
            <w:sz w:val="26"/>
            <w:szCs w:val="26"/>
            <w:u w:val="single" w:color="576B95"/>
          </w:rPr>
          <w:t>大连医科大学刘彩刚团队的文章存在图片重复使用</w:t>
        </w:r>
      </w:hyperlink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。经过DataTwin检测，识别出该论著1处文章内重复，2处与Liu Tong et al., 2016,doi:10.18632/oncotarget.973 之间出现细胞迁移及WB图片重复，两篇论文之间不存在任何相同作者。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995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32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Liu et al., 2016,doi:10.18632/oncotarget.973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28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2015年10月19日，大连医科大学附属第二医院&amp;吉林大学第一医院&amp;哈尔滨医科大学附属肿瘤医院在Oncotarget期刊上在线发表题为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42256"/>
          <w:spacing w:val="9"/>
          <w:sz w:val="23"/>
          <w:szCs w:val="23"/>
          <w:shd w:val="clear" w:color="auto" w:fill="EEF0FF"/>
        </w:rPr>
        <w:t>"MicroRNA-1 down-regulates proliferation and migration of breast cancer stem cells by inhibiting the Wnt/β-catenin pathway"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(MicroRNA-1 通过抑制 Wnt/β-catenin 通路下调乳腺癌干细胞的增殖和迁移)的论文。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第一作者：哈尔滨医科大学附属肿瘤医院乳腺外科Tong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通讯作者：大连医科大学附属第二医院乳腺外科Caigang Liu（音译 刘彩刚），吉林大学第一医院Meizi Cui（音译 崔美子）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本研究得到了国家自然科学基金（编号：81102029和81172047）和辽宁省国家自然科学基金（编号：2013021006）的部分资助。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67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26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7234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046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514286"/>
            <wp:docPr id="100007" name="" descr="哈尔滨医科大学附属肿瘤医院防疫、诊疗两不误-哈尔滨医科大学新闻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739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268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经过DataTwin检测，识别出1处文章内重复，2处与Liu et al., 2016,doi:10.18632/oncotarget.973 之间出现重复，两篇论文之间不存在任何相同作者。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23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1832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7473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spacing w:before="0" w:after="0" w:line="384" w:lineRule="atLeast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>https://www.oncotarget.com/article/9734/text/</w:t>
      </w:r>
    </w:p>
    <w:p>
      <w:pPr>
        <w:spacing w:before="0" w:after="0" w:line="384" w:lineRule="atLeast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923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788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965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9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1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2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3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4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5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6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7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8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9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1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2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3" Type="http://schemas.openxmlformats.org/officeDocument/2006/relationships/image" Target="media/image12.emf" /><Relationship Id="rId34" Type="http://schemas.openxmlformats.org/officeDocument/2006/relationships/image" Target="media/image13.jpeg" /><Relationship Id="rId35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629&amp;idx=3&amp;sn=1f3ece8bf66853366d0e5064d30c1497&amp;chksm=c3d1e133a2a9c694191d9c07e12964403cfd3eb129fdf01e799221587a28eeaa00c8a59abc2f&amp;scene=126&amp;sessionid=17428328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hyperlink" Target="https://mp.weixin.qq.com/s?__biz=Mzg2Mzc2NzUxMQ==&amp;mid=2247520076&amp;idx=1&amp;sn=d389c4b6217db237eba43d5d103f7fdb&amp;scene=21" TargetMode="External" /><Relationship Id="rId9" Type="http://schemas.openxmlformats.org/officeDocument/2006/relationships/image" Target="media/image3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