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浙江省人民医院李亚清团队发表的文章存在图片重复使用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12:26:03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687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）或直接搬运Pubpeer网站/诚信科研/iPubpeers公众号，读者6注意辨别号称具有”李鬼样“的检测系统，免得受骗上当。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812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日浙江省人民医院李亚清团队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Oncology Letters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Lentivirus-mediated silencing of HOTAIR lncRNA restores gefitinib sensitivity by activating Bax/Caspase-3 and suppressing TGF-α/EGFR signaling in lung adenocarcinoma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2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258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66975" cy="1295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625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：图4C-2及4C-3出现部分重叠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，但代表不同的试验结果。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982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38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402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735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jpe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1871&amp;idx=1&amp;sn=950785c322dc18e46da7d56a5c85d4a9&amp;chksm=cf8bdaecd2c7dc1776d3ed6a4b57f3f4b26e559684e9573e13044fafd8c3291828b622fd0960&amp;scene=126&amp;sessionid=174283471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