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条带多处相似，且涉嫌违反动物伦理！第三军医大学药学院论文被撤回！国自然基金资助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09:51:08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年，来自第三军医大学药学院的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Guobing Li , Changyu Shan , Lei Liu , Ting Zhou , Jing Zhou , Xiaoye Hu , Yibiao Chen , Hongjuan Cui , Ning Gao </w:t>
      </w:r>
      <w:r>
        <w:rPr>
          <w:rStyle w:val="any"/>
          <w:rFonts w:ascii="PMingLiU" w:eastAsia="PMingLiU" w:hAnsi="PMingLiU" w:cs="PMingLiU"/>
          <w:spacing w:val="8"/>
        </w:rPr>
        <w:t>（通讯作者，音译高宁）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Tanshinone IIA inhibits HIF-1α and VEGF expression in breast cancer cells via mTOR/p70S6K/RPS6/4E-BP1 signaling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这项工作得到了重庆市自然科学基金（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CSTC2013jjB10007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81402970</w:t>
      </w:r>
      <w:r>
        <w:rPr>
          <w:rStyle w:val="any"/>
          <w:rFonts w:ascii="PMingLiU" w:eastAsia="PMingLiU" w:hAnsi="PMingLiU" w:cs="PMingLiU"/>
          <w:spacing w:val="8"/>
        </w:rPr>
        <w:t>）以及西南大学家蚕基因组生物学国家重点实验室开放课题项目（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2013024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日撤回。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在这篇文章</w:t>
      </w:r>
      <w:r>
        <w:rPr>
          <w:rStyle w:val="any"/>
          <w:rFonts w:ascii="Times New Roman" w:eastAsia="Times New Roman" w:hAnsi="Times New Roman" w:cs="Times New Roman"/>
          <w:spacing w:val="8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发表后，有人对图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中呈现的结果提出了担忧。具体而言：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在多个面板中，单个蛋白质印迹面板内的两条或多条泳道彼此相似，包括：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中，在核提取物（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NE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HIF-1β </w:t>
      </w:r>
      <w:r>
        <w:rPr>
          <w:rStyle w:val="any"/>
          <w:rFonts w:ascii="PMingLiU" w:eastAsia="PMingLiU" w:hAnsi="PMingLiU" w:cs="PMingLiU"/>
          <w:spacing w:val="8"/>
        </w:rPr>
        <w:t>面板内和全细胞提取物（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WCE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HIF-1α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中，在核提取物（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NE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HIF-1β </w:t>
      </w:r>
      <w:r>
        <w:rPr>
          <w:rStyle w:val="any"/>
          <w:rFonts w:ascii="PMingLiU" w:eastAsia="PMingLiU" w:hAnsi="PMingLiU" w:cs="PMingLiU"/>
          <w:spacing w:val="8"/>
        </w:rPr>
        <w:t>面板内和全细胞提取物（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WCE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HIF-2α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[35S]HIF-1α </w:t>
      </w:r>
      <w:r>
        <w:rPr>
          <w:rStyle w:val="any"/>
          <w:rFonts w:ascii="PMingLiU" w:eastAsia="PMingLiU" w:hAnsi="PMingLiU" w:cs="PMingLiU"/>
          <w:spacing w:val="8"/>
        </w:rPr>
        <w:t>常氧面板内。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[35S]HIF-1α </w:t>
      </w:r>
      <w:r>
        <w:rPr>
          <w:rStyle w:val="any"/>
          <w:rFonts w:ascii="PMingLiU" w:eastAsia="PMingLiU" w:hAnsi="PMingLiU" w:cs="PMingLiU"/>
          <w:spacing w:val="8"/>
        </w:rPr>
        <w:t>常氧面板内。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mTOR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p-p70S6K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Thr421/Ser424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p-p70S6K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Thr389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p70S6K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p-4E-BP1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Thr37/46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4E-BP1 </w:t>
      </w:r>
      <w:r>
        <w:rPr>
          <w:rStyle w:val="any"/>
          <w:rFonts w:ascii="PMingLiU" w:eastAsia="PMingLiU" w:hAnsi="PMingLiU" w:cs="PMingLiU"/>
          <w:spacing w:val="8"/>
        </w:rPr>
        <w:t>面板内。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p-mTOR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p-p70S6K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肌动蛋白面板内。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的核提取物（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NE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HIF-1α </w:t>
      </w:r>
      <w:r>
        <w:rPr>
          <w:rStyle w:val="any"/>
          <w:rFonts w:ascii="PMingLiU" w:eastAsia="PMingLiU" w:hAnsi="PMingLiU" w:cs="PMingLiU"/>
          <w:spacing w:val="8"/>
        </w:rPr>
        <w:t>面板看起来与图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的核提取物（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NE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HIF-1α </w:t>
      </w:r>
      <w:r>
        <w:rPr>
          <w:rStyle w:val="any"/>
          <w:rFonts w:ascii="PMingLiU" w:eastAsia="PMingLiU" w:hAnsi="PMingLiU" w:cs="PMingLiU"/>
          <w:spacing w:val="8"/>
        </w:rPr>
        <w:t>面板相似，尽管代表不同的实验条件。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的全细胞提取物（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WCE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HIF-1α </w:t>
      </w:r>
      <w:r>
        <w:rPr>
          <w:rStyle w:val="any"/>
          <w:rFonts w:ascii="PMingLiU" w:eastAsia="PMingLiU" w:hAnsi="PMingLiU" w:cs="PMingLiU"/>
          <w:spacing w:val="8"/>
        </w:rPr>
        <w:t>泳道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8 - 10 </w:t>
      </w:r>
      <w:r>
        <w:rPr>
          <w:rStyle w:val="any"/>
          <w:rFonts w:ascii="PMingLiU" w:eastAsia="PMingLiU" w:hAnsi="PMingLiU" w:cs="PMingLiU"/>
          <w:spacing w:val="8"/>
        </w:rPr>
        <w:t>看起来与图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[35S]HIF-1α </w:t>
      </w:r>
      <w:r>
        <w:rPr>
          <w:rStyle w:val="any"/>
          <w:rFonts w:ascii="PMingLiU" w:eastAsia="PMingLiU" w:hAnsi="PMingLiU" w:cs="PMingLiU"/>
          <w:spacing w:val="8"/>
        </w:rPr>
        <w:t>常氧泳道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4 - 6 </w:t>
      </w:r>
      <w:r>
        <w:rPr>
          <w:rStyle w:val="any"/>
          <w:rFonts w:ascii="PMingLiU" w:eastAsia="PMingLiU" w:hAnsi="PMingLiU" w:cs="PMingLiU"/>
          <w:spacing w:val="8"/>
        </w:rPr>
        <w:t>相似。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中呈现的面板似乎存在多个垂直不连续性。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通讯作者表示，上述列出的蛋白质印迹面板没有拼接，但指出在图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的核提取物（</w:t>
      </w:r>
      <w:r>
        <w:rPr>
          <w:rStyle w:val="any"/>
          <w:rFonts w:ascii="Times New Roman" w:eastAsia="Times New Roman" w:hAnsi="Times New Roman" w:cs="Times New Roman"/>
          <w:spacing w:val="8"/>
        </w:rPr>
        <w:t>NE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HIF-1α </w:t>
      </w:r>
      <w:r>
        <w:rPr>
          <w:rStyle w:val="any"/>
          <w:rFonts w:ascii="PMingLiU" w:eastAsia="PMingLiU" w:hAnsi="PMingLiU" w:cs="PMingLiU"/>
          <w:spacing w:val="8"/>
        </w:rPr>
        <w:t>面板的制备中出现了错误，并为该面板提供了替换图像。他们表示，上述已发表面板所依据的大部分原始印迹图像现在无法获取。由于缺乏基础数据，这些担忧无法得到解决。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通讯作者还指出一个问题，即图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</w:rPr>
        <w:t>中报告的肿瘤体积超过了国际公认的动物福利标准，尽管他们指出在</w:t>
      </w:r>
      <w:r>
        <w:rPr>
          <w:rStyle w:val="any"/>
          <w:rFonts w:ascii="Times New Roman" w:eastAsia="Times New Roman" w:hAnsi="Times New Roman" w:cs="Times New Roman"/>
          <w:spacing w:val="8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发表时，中国没有关于小鼠肿瘤体积伦理终点的规定。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鉴于上述未解决的问题，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spacing w:val="8"/>
        </w:rPr>
        <w:t>的编辑撤回了这篇文章。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NG </w:t>
      </w:r>
      <w:r>
        <w:rPr>
          <w:rStyle w:val="any"/>
          <w:rFonts w:ascii="PMingLiU" w:eastAsia="PMingLiU" w:hAnsi="PMingLiU" w:cs="PMingLiU"/>
          <w:spacing w:val="8"/>
        </w:rPr>
        <w:t>通知该杂志，所有作者都不同意撤回。</w:t>
      </w:r>
      <w:r>
        <w:rPr>
          <w:rStyle w:val="any"/>
          <w:rFonts w:ascii="Times New Roman" w:eastAsia="Times New Roman" w:hAnsi="Times New Roman" w:cs="Times New Roman"/>
          <w:spacing w:val="8"/>
        </w:rPr>
        <w:t>GL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TZ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JZ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HC </w:t>
      </w:r>
      <w:r>
        <w:rPr>
          <w:rStyle w:val="any"/>
          <w:rFonts w:ascii="PMingLiU" w:eastAsia="PMingLiU" w:hAnsi="PMingLiU" w:cs="PMingLiU"/>
          <w:spacing w:val="8"/>
        </w:rPr>
        <w:t>要么没有直接回应，要么无法联系到。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https://www.pubpeer.org/publications/2FA4C0702144592835CE205C7E63D4#1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第三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第三军医大学</w:t>
        </w:r>
      </w:hyperlink>
      <w:hyperlink r:id="rId7" w:anchor="wechat_redirect" w:tgtFrame="_blank" w:tooltip="陆军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陆军军医大学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851&amp;idx=5&amp;sn=b067ac506da6ac604145f43b73d42e48&amp;chksm=c052a6b39270e6dce20ae31540a3daf13cf24df01b79349fa98b9bfbe739346821c27f12a20e&amp;scene=126&amp;sessionid=17428345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kxMDYyNzI5NQ==&amp;action=getalbum&amp;album_id=3352918524473835524" TargetMode="External" /><Relationship Id="rId7" Type="http://schemas.openxmlformats.org/officeDocument/2006/relationships/hyperlink" Target="https://mp.weixin.qq.com/mp/appmsgalbum?__biz=MzkxMDYyNzI5NQ==&amp;action=getalbum&amp;album_id=341651536670349722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