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难说误用！重庆医科大学附属儿童医院临床分子医学中心研究遭质疑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11:32:43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‘β-Arrestin1 promotes the progression of chronic myeloid leukaemia by regulating BCR/ABL H4 acetylation’ β-Arrestin1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BCR/ABL H4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乙酰化促进慢性髓系白血病进展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10.1038/bjc.2014.335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R Qin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 Qi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 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 Zou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（通讯作者，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Lin Zou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，常务副主任）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重庆医科大学附属儿童医院临床分子医学中心。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4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4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：应该显示不同蛋白质印迹的图像之间意外地相似。我添加了红色形状来显示我的意思。请作者检查并发表评论？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8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5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https://pubpeer.com/publications/8B95249D4D8F7D870CCB87DED20ABC#1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重庆医科大学附属儿童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重庆医科大学附属儿童医院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77&amp;idx=6&amp;sn=688778bac9629129f8ff196d1efb076c&amp;chksm=c3444ad9d7851b0a07bfca8e1b6eb03c73049f648d614f3ee3c279a20d2117a4ad1a5ba3aab5&amp;scene=126&amp;sessionid=17428756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9251524243469107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