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条件不同，图像重叠？武汉协和医院胃肠外科研究遭质疑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11:09:30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‘PLAGL2 promotes epithelial–mesenchymal transition and mediates colorectal cancer metastasis via β-catenin-dependent regulation of ZEB1’PLAGL2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β-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连环蛋白依赖的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ZEB1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调控促进上皮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间质转化并介导结直肠癌转移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10.1038/s41416-019-0679-z  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Liang Wu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Zili Zhou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Shengbo Han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Jinhuang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Zhengyi Liu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Xudan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Wenzheng Yuan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Jintong Ji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Xiaogang Shu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华中科技大学同济医学院附属协和医院胃肠外科。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5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372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</w:t>
      </w:r>
      <w:r>
        <w:rPr>
          <w:rStyle w:val="any"/>
          <w:rFonts w:ascii="PMingLiU" w:eastAsia="PMingLiU" w:hAnsi="PMingLiU" w:cs="PMingLiU"/>
          <w:spacing w:val="8"/>
        </w:rPr>
        <w:t>：图像之间意外出现重叠区域，这些区域应显示不同的细胞类型。请作者检查并评论？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5801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987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5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https://pubpeer.com/publications/0A221D782C1E0CD14EDC24A0743350#1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武汉协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武汉协和医院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944&amp;idx=3&amp;sn=2d2fb0c4eb123bf3bf2fdec2a9b3dbfb&amp;chksm=c3ba94e4a0ecc318a0273528136d2581af71d8749f55217f2b19bd67c5d512743d61b2a7e567&amp;scene=126&amp;sessionid=17428345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38247935277694981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