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小鼠相同，荧光强度不同？上海新华医院妇产科科主任研究被指图像操纵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‘Crosstalk between TEMs and endothelial cells modulates angiogenesis and metastasis via IGF1-IGF1R signalling in epithelial ovarian cancer’ TEMs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与内皮细胞通过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IGF1-IGF1R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信号通路调控上皮性卵巢癌的血管生成和转移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10.1038/bjc.2017.297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Xinjing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Qinyi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Xiaoli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Qizhi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Congjian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Xiaoping Wan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Xipeng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上海交通大学医学院附属新华医院妇产科。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71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：出乎意料的相似小鼠。我添加了红色矩形来显示我的意思。作者们会再检查一下吗？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07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68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https://pubpeer.com/publications/91A90F837C34F6056C3907B537CCBA#1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上海交通大学医学院附属新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上海交通大学医学院附属新华医院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4&amp;sn=8738a5016b91fa25710a8d3d46466e71&amp;chksm=c35c91e5d5e40c1cc638d789a2348f1e90e1cd42460df8a2d48f2788069c76aa7cf51c50e2c9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2143237267456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