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撤稿风波！福建医科大学附属协和医院口腔科研究被曝文献错乱，伦理审批成疑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Fluorescence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‘A New Luminescent Zn(II) Complex: Selective Sensing of CrO and Prevention Activity Against Orthodontic Root Absorption by Suppressing Inflammatory Response’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一种新型发光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Zn(II)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配合物：通过抑制炎症反应选择性检测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CrO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并预防正畸牙根吸收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10.1007/s10895-020-02597-w </w:t>
      </w:r>
      <w:r>
        <w:rPr>
          <w:rStyle w:val="any"/>
          <w:rFonts w:ascii="PMingLiU" w:eastAsia="PMingLiU" w:hAnsi="PMingLiU" w:cs="PMingLiU"/>
          <w:spacing w:val="8"/>
        </w:rPr>
        <w:t>）因学术不端问题被撤回。该研究由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Yan-Feng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Wei-Qun Guan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Fei Lin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Wei-Hui Chen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（通讯作者）共同完成，通讯单位为福建医科大学附属协和医院口腔科。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5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64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本研究中使用的</w:t>
      </w:r>
      <w:r>
        <w:rPr>
          <w:rStyle w:val="any"/>
          <w:rFonts w:ascii="Times New Roman" w:eastAsia="Times New Roman" w:hAnsi="Times New Roman" w:cs="Times New Roman"/>
          <w:spacing w:val="8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只</w:t>
      </w:r>
      <w:r>
        <w:rPr>
          <w:rStyle w:val="any"/>
          <w:rFonts w:ascii="Times New Roman" w:eastAsia="Times New Roman" w:hAnsi="Times New Roman" w:cs="Times New Roman"/>
          <w:spacing w:val="8"/>
        </w:rPr>
        <w:t>Wistar</w:t>
      </w:r>
      <w:r>
        <w:rPr>
          <w:rStyle w:val="any"/>
          <w:rFonts w:ascii="PMingLiU" w:eastAsia="PMingLiU" w:hAnsi="PMingLiU" w:cs="PMingLiU"/>
          <w:spacing w:val="8"/>
        </w:rPr>
        <w:t>大鼠来自浙江省实验动物研究中心，并在标准实验室条件下饲养，提供自由食物和水。所有实验操作已获得浙江省实验动物研究中心伦理委员会的批准。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作者们在购买大鼠的同一公司获得了进行解剖的伦理许可。那么福建医科大学附属协和医院是否没有伦理委员会？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“Preformation”</w:t>
      </w:r>
      <w:r>
        <w:rPr>
          <w:rStyle w:val="any"/>
          <w:rFonts w:ascii="PMingLiU" w:eastAsia="PMingLiU" w:hAnsi="PMingLiU" w:cs="PMingLiU"/>
          <w:spacing w:val="8"/>
        </w:rPr>
        <w:t>作为</w:t>
      </w:r>
      <w:r>
        <w:rPr>
          <w:rStyle w:val="any"/>
          <w:rFonts w:ascii="Times New Roman" w:eastAsia="Times New Roman" w:hAnsi="Times New Roman" w:cs="Times New Roman"/>
          <w:spacing w:val="8"/>
        </w:rPr>
        <w:t>“procedure”</w:t>
      </w:r>
      <w:r>
        <w:rPr>
          <w:rStyle w:val="any"/>
          <w:rFonts w:ascii="PMingLiU" w:eastAsia="PMingLiU" w:hAnsi="PMingLiU" w:cs="PMingLiU"/>
          <w:spacing w:val="8"/>
        </w:rPr>
        <w:t>（手术）的用词错误，</w:t>
      </w:r>
      <w:r>
        <w:rPr>
          <w:rStyle w:val="any"/>
          <w:rFonts w:ascii="Times New Roman" w:eastAsia="Times New Roman" w:hAnsi="Times New Roman" w:cs="Times New Roman"/>
          <w:spacing w:val="8"/>
        </w:rPr>
        <w:t>“Logical growth phage”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“final destiny”</w:t>
      </w:r>
      <w:r>
        <w:rPr>
          <w:rStyle w:val="any"/>
          <w:rFonts w:ascii="PMingLiU" w:eastAsia="PMingLiU" w:hAnsi="PMingLiU" w:cs="PMingLiU"/>
          <w:spacing w:val="8"/>
        </w:rPr>
        <w:t>是协调聚合物论文厂的标志性错误。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简而言之，</w:t>
      </w:r>
      <w:r>
        <w:rPr>
          <w:rStyle w:val="any"/>
          <w:rFonts w:ascii="Times New Roman" w:eastAsia="Times New Roman" w:hAnsi="Times New Roman" w:cs="Times New Roman"/>
          <w:spacing w:val="8"/>
        </w:rPr>
        <w:t>HPDLF</w:t>
      </w:r>
      <w:r>
        <w:rPr>
          <w:rStyle w:val="any"/>
          <w:rFonts w:ascii="PMingLiU" w:eastAsia="PMingLiU" w:hAnsi="PMingLiU" w:cs="PMingLiU"/>
          <w:spacing w:val="8"/>
        </w:rPr>
        <w:t>细胞用于合成化合物的生物毒性评估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作者忘记指定其人类牙周韧带成纤维细胞的来源。同时，他们也未能指定图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中显示的对照物质。当我们不知道比较的内容时，与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无显著性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结果的统计比较毫无意义。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876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89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随后，该评论人指出本文文献引用存在问题：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另一方面，锌离子（</w:t>
      </w:r>
      <w:r>
        <w:rPr>
          <w:rStyle w:val="any"/>
          <w:rFonts w:ascii="Times New Roman" w:eastAsia="Times New Roman" w:hAnsi="Times New Roman" w:cs="Times New Roman"/>
          <w:spacing w:val="8"/>
        </w:rPr>
        <w:t>Zn2+</w:t>
      </w:r>
      <w:r>
        <w:rPr>
          <w:rStyle w:val="any"/>
          <w:rFonts w:ascii="PMingLiU" w:eastAsia="PMingLiU" w:hAnsi="PMingLiU" w:cs="PMingLiU"/>
          <w:spacing w:val="8"/>
        </w:rPr>
        <w:t>）是人体中仅次于铁的第二大显著微量元素，对各种生物系统的生长和发展至关重要，且由于其氧化还原惰性、低毒性、硬路易斯酸特性和生物可利用性，锌是水解酶所偏好的金属离子</w:t>
      </w:r>
      <w:r>
        <w:rPr>
          <w:rStyle w:val="any"/>
          <w:rFonts w:ascii="Times New Roman" w:eastAsia="Times New Roman" w:hAnsi="Times New Roman" w:cs="Times New Roman"/>
          <w:spacing w:val="8"/>
        </w:rPr>
        <w:t>[19-21]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[19] Komiyama M, Takeda N, Shigekawa H (1999) </w:t>
      </w:r>
      <w:r>
        <w:rPr>
          <w:rStyle w:val="any"/>
          <w:rFonts w:ascii="PMingLiU" w:eastAsia="PMingLiU" w:hAnsi="PMingLiU" w:cs="PMingLiU"/>
          <w:spacing w:val="8"/>
        </w:rPr>
        <w:t>钪离子对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的水解：引导新应用的机制研究。化学通讯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22:1443–1451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[20] Niittym?ki T, L?nnberg H (2006) </w:t>
      </w:r>
      <w:r>
        <w:rPr>
          <w:rStyle w:val="any"/>
          <w:rFonts w:ascii="PMingLiU" w:eastAsia="PMingLiU" w:hAnsi="PMingLiU" w:cs="PMingLiU"/>
          <w:spacing w:val="8"/>
        </w:rPr>
        <w:t>人工核糖核酸酶。有机生物分子化学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4:15–25 </w:t>
      </w:r>
      <w:r>
        <w:rPr>
          <w:rStyle w:val="any"/>
          <w:rFonts w:ascii="PMingLiU" w:eastAsia="PMingLiU" w:hAnsi="PMingLiU" w:cs="PMingLiU"/>
          <w:spacing w:val="8"/>
        </w:rPr>
        <w:t>真的吗？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主编和出版方已撤回此篇文章。在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Bimler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的描述性研究预印本发布后，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[1]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出版方的调查发现了系统性操控出版过程的证据。反复出现的问题包括但不限于：引用的文献与文中所述的主张不符、非标准的表述、图表中的异常以及伦理审批声明的差异。根据调查结果，主编不再对该文章的结果和结论保持信任。作者未回复编辑关于撤稿的通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 xml:space="preserve">[1] David Bimler. 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《通过配位化学改善生活：一种结合结晶学和医学的高产造纸厂的描述性研究》，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2022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日，预印本（版本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），可在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Research Square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查看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https://doi.org/10.21203/rs.3.rs-1537438/v1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https://pubpeer.com/publications/CC8F65102A5FCDADC63656DF8B30BE#4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福建医科大学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福建医科大学附属协和医院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07&amp;idx=1&amp;sn=3cd1e0aa28c0f542ba2a93f159c68969&amp;chksm=c347485a9a5d2d9dc5bedc9905d7f93c19399dbb1d1d37f455ed53a4f9ee340c23c63ab5239a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1527669887247974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