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90895"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81292"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f5d1646e70d4b85ff46a3fec2b8ad4d1d75cee5484f949ec69034b132cc5467f713759f83a&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