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75050"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32261"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3746eacd7a94b807ec8c0381bc04f237f8177fa7c0a2ae3a7ee558087bd1cf4c103bf7832d&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