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福建医科大学附属协和医院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Wei-Hui Chen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的论文被撤稿，因出版过程存在系统性操纵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11:26:40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A New Luminescent Zn(II) Complex: Selective Sensing of Cr2O72- and Prevention Activity Against Orthodontic Root Absorption by Suppressing Inflammatory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Fluorescence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福建医科大学附属协和医院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发表时间：2020年8月5日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10.1007/s10895-020-02597-w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该文章的出版过程存在系统性操纵的证据。重复出现的问题包括但不限于：文中引用的文献无法支撑文中的论点、表述不规范、图表异常以及伦理审批声明不一致。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352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46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77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760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本研究由福建省科学技术厅科技创新联合基金项目（2019Y9088）资助。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“Preformation”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用作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“procedure”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的不恰当词，以及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“Logical growth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phage”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“final destiny”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，是多产的配位聚合物造纸厂的标志。详情参见：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https://dbrech.irit.fr/pls/apex/f?p=9999:1::::::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984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94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62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作者忘记了指明他们使用的人牙周膜成纤维细胞的来源，同时也未说明图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中所示的对照物质。当没有对比时，一个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不显著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结果的统计比较是没有意义的。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8765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47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8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主编和出版商已撤回本文。在Bimler的描述性研究[1]的预印本存档后，出版商进行的一项调查发现，该文章的出版过程存在系统性操纵的证据。重复出现的问题包括但不限于：文中引用的文献无法支撑文中的论点、表述不规范、图表异常以及伦理审批声明不一致。基于调查结果，主编对该文章的结果和结论不再抱有信心。作者未回复主编关于撤回此文的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David Bimler. Better Living through Coordination Chemistry: A descriptive study of a prolific papermill that combines crystallography and medicine, 15 April 2022, PREPRINT (Version 1) available at Research Square https://doi.org/10.21203/rs.3.rs-1537438/v1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https://link.springer.com/article/10.1007/s10895-025-04264-4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76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533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90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81&amp;idx=2&amp;sn=da83d5a3519c41418ba79f8dfd6bb537&amp;chksm=c2d2dc181972a1b45d07bbf3a64d66f1366d6b15494c0b51a6c40ad3a6e56e8cc7dfc3a2228b&amp;scene=126&amp;sessionid=1742833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