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1639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8307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01270"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86875"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17344"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1130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9741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d2d63a5762d3ffcc9f5f4f664d931c898daac02217d1391e2525a619d195ce97da96c9674c&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