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广东药科大学药学院《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Carbohydrate Polymers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》论文因图像重复问题引发关注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Times New Roman" w:eastAsia="Times New Roman" w:hAnsi="Times New Roman" w:cs="Times New Roman"/>
          <w:color w:val="A5A5A5"/>
          <w:spacing w:val="8"/>
        </w:rPr>
        <w:t xml:space="preserve">Figure </w:t>
      </w:r>
      <w:r>
        <w:rPr>
          <w:rStyle w:val="richmediameta"/>
          <w:rFonts w:ascii="PMingLiU" w:eastAsia="PMingLiU" w:hAnsi="PMingLiU" w:cs="PMingLiU"/>
          <w:color w:val="A5A5A5"/>
          <w:spacing w:val="8"/>
        </w:rPr>
        <w:t>查重</w:t>
      </w:r>
      <w:hyperlink r:id="rId5" w:history="1">
        <w:bookmarkStart w:id="0" w:name="js_name"/>
        <w:r>
          <w:rPr>
            <w:rStyle w:val="a"/>
            <w:rFonts w:ascii="Times New Roman" w:eastAsia="Times New Roman" w:hAnsi="Times New Roman" w:cs="Times New Roman"/>
            <w:spacing w:val="8"/>
            <w:sz w:val="23"/>
            <w:szCs w:val="23"/>
          </w:rPr>
          <w:t>Figure</w:t>
        </w:r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查重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2025-03-19 10:51:58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上海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1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“论文信息”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shd w:val="clear" w:color="auto" w:fill="FFFFFF"/>
        <w:spacing w:after="0" w:line="408" w:lineRule="atLeast"/>
        <w:ind w:left="300" w:right="300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olor w:val="3E3E3E"/>
          <w:spacing w:val="9"/>
          <w:sz w:val="26"/>
          <w:szCs w:val="26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近日，发表在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i/>
          <w:iCs/>
          <w:spacing w:val="8"/>
        </w:rPr>
        <w:t>Carbohydrate Polymers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期刊的一篇题为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“In vitro and in silico anti-osteoporosis activities and underlying mechanisms of a fructan, ABW90-1, from </w:t>
      </w:r>
      <w:r>
        <w:rPr>
          <w:rStyle w:val="any"/>
          <w:rFonts w:ascii="Times New Roman" w:eastAsia="Times New Roman" w:hAnsi="Times New Roman" w:cs="Times New Roman"/>
          <w:b/>
          <w:bCs/>
          <w:i/>
          <w:iCs/>
          <w:spacing w:val="8"/>
        </w:rPr>
        <w:t>Achyranthes bidentata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”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的研究因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图像重复问题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受到关注。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</w:rPr>
        <w:t>该研究由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Tianyu Li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Xin Hou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Yihua Huang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>Changsheng Wang</w:t>
      </w:r>
      <w:r>
        <w:rPr>
          <w:rStyle w:val="any"/>
          <w:rFonts w:ascii="PMingLiU" w:eastAsia="PMingLiU" w:hAnsi="PMingLiU" w:cs="PMingLiU"/>
          <w:b/>
          <w:bCs/>
          <w:spacing w:val="8"/>
        </w:rPr>
        <w:t>、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Haiyun Chen 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和</w:t>
      </w:r>
      <w:r>
        <w:rPr>
          <w:rStyle w:val="any"/>
          <w:rFonts w:ascii="Times New Roman" w:eastAsia="Times New Roman" w:hAnsi="Times New Roman" w:cs="Times New Roman"/>
          <w:b/>
          <w:bCs/>
          <w:spacing w:val="8"/>
        </w:rPr>
        <w:t xml:space="preserve"> Chunyan Yan</w:t>
      </w:r>
      <w:r>
        <w:rPr>
          <w:rStyle w:val="any"/>
          <w:rFonts w:ascii="PMingLiU" w:eastAsia="PMingLiU" w:hAnsi="PMingLiU" w:cs="PMingLiU"/>
          <w:b/>
          <w:bCs/>
          <w:spacing w:val="8"/>
        </w:rPr>
        <w:t>（通讯作者，副院长）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spacing w:val="8"/>
        </w:rPr>
        <w:t>共同完成，通讯单位为</w:t>
      </w:r>
      <w:r>
        <w:rPr>
          <w:rStyle w:val="any"/>
          <w:rFonts w:ascii="Times New Roman" w:eastAsia="Times New Roman" w:hAnsi="Times New Roman" w:cs="Times New Roman"/>
          <w:spacing w:val="8"/>
        </w:rPr>
        <w:t> </w:t>
      </w:r>
      <w:r>
        <w:rPr>
          <w:rStyle w:val="any"/>
          <w:rFonts w:ascii="PMingLiU" w:eastAsia="PMingLiU" w:hAnsi="PMingLiU" w:cs="PMingLiU"/>
          <w:b/>
          <w:bCs/>
          <w:spacing w:val="8"/>
        </w:rPr>
        <w:t>广东药科大学药学院</w:t>
      </w:r>
      <w:r>
        <w:rPr>
          <w:rStyle w:val="any"/>
          <w:rFonts w:ascii="PMingLiU" w:eastAsia="PMingLiU" w:hAnsi="PMingLiU" w:cs="PMingLiU"/>
          <w:spacing w:val="8"/>
        </w:rPr>
        <w:t>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6448425"/>
            <wp:docPr id="100001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85493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6448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6448425" cy="3345423"/>
            <wp:docPr id="100002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913688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33454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45" w:after="45" w:line="384" w:lineRule="atLeast"/>
        <w:ind w:left="480" w:right="450"/>
        <w:jc w:val="center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84" w:lineRule="atLeast"/>
        <w:ind w:left="495" w:right="480"/>
        <w:jc w:val="left"/>
        <w:rPr>
          <w:rStyle w:val="any"/>
          <w:rFonts w:ascii="Microsoft YaHei UI" w:eastAsia="Microsoft YaHei UI" w:hAnsi="Microsoft YaHei UI" w:cs="Microsoft YaHei UI"/>
          <w:color w:val="223170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223170"/>
          <w:spacing w:val="8"/>
        </w:rPr>
        <w:t>“论文质疑”</w:t>
      </w:r>
    </w:p>
    <w:p>
      <w:pPr>
        <w:shd w:val="clear" w:color="auto" w:fill="FFFFFF"/>
        <w:spacing w:before="0" w:after="0" w:line="36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  <w:r>
        <w:rPr>
          <w:rStyle w:val="any"/>
          <w:rFonts w:ascii="Microsoft YaHei UI" w:eastAsia="Microsoft YaHei UI" w:hAnsi="Microsoft YaHei UI" w:cs="Microsoft YaHei UI"/>
          <w:strike w:val="0"/>
          <w:color w:val="3E3E3E"/>
          <w:spacing w:val="8"/>
          <w:sz w:val="23"/>
          <w:szCs w:val="23"/>
          <w:u w:val="none"/>
        </w:rPr>
        <w:drawing>
          <wp:inline>
            <wp:extent cx="6448425" cy="5272185"/>
            <wp:docPr id="100003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127289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5272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60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3"/>
          <w:szCs w:val="23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3E3E3E"/>
          <w:spacing w:val="8"/>
          <w:sz w:val="21"/>
          <w:szCs w:val="21"/>
        </w:rPr>
        <w:t>参考文献：</w:t>
      </w:r>
    </w:p>
    <w:p>
      <w:pPr>
        <w:shd w:val="clear" w:color="auto" w:fill="FFFFFF"/>
        <w:spacing w:after="0" w:line="336" w:lineRule="atLeast"/>
        <w:ind w:left="300" w:right="300"/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8"/>
          <w:sz w:val="21"/>
          <w:szCs w:val="21"/>
        </w:rPr>
        <w:t>https://pubpeer.com/publications/0AF17C42541288317F14E084CBC8A2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8"/>
        </w:rPr>
        <w:t>联系我们：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如果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您需要使用Figure查重服务，请扫描下方二维码，添加客服微信，了解更多详情。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  <w:t>我们将竭诚为您服务，确保您的科研工作更加高效、可信。</w:t>
      </w:r>
    </w:p>
    <w:p>
      <w:pPr>
        <w:pStyle w:val="p"/>
        <w:widowControl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FFFFFF"/>
        <w:spacing w:before="0" w:after="360" w:line="408" w:lineRule="atLeast"/>
        <w:ind w:left="300" w:right="300" w:firstLine="0"/>
        <w:jc w:val="both"/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pacing w:val="8"/>
          <w:sz w:val="26"/>
          <w:szCs w:val="26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caps w:val="0"/>
          <w:strike w:val="0"/>
          <w:spacing w:val="8"/>
          <w:sz w:val="26"/>
          <w:szCs w:val="26"/>
          <w:u w:val="none"/>
        </w:rPr>
        <w:drawing>
          <wp:inline>
            <wp:extent cx="6448425" cy="8790221"/>
            <wp:docPr id="100004" name="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252964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48425" cy="87902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zMzc1Nzg1OQ==&amp;mid=2247486178&amp;idx=3&amp;sn=96a283cd828736fd54a9051ec512556c&amp;chksm=c30ad97e99b6e758ff3f40b715c8dddbf60af85a3ba5b36e36c2a3a37eb1ce4fffaaf84473fd&amp;scene=126&amp;sessionid=1742746120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