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又有新问题！澳门科技大学博导，西南医科大学医学基础研究中心主任傅俊江团队又现问题数据图片，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该团队多篇论文存在问题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17:11:43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36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47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2025年2月11日，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娄底市第一人民医院肿瘤科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Journal of Cancer(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IF=3.3)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ADAM10 is a key player in the diagnosis, prognosis and metastasis of non-small cell lung cancer (NSCLC)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ADAM10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在非小细胞肺癌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(NSCLC)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的诊断、预后和转移中起着关键作用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Wenqian Zhang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娄底市第一人民医院肿瘤科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Liyao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Junjiang Fu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傅俊江），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Youhua Xu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徐友华）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本研究得到了四川省科技厅基金（批准号：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2022NSFSC0737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）、南京医科大学附属淮安第一医院青年创新人才项目基金（批准号：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QC202209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81672887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）以及康臣药业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集团（批准号：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54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75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4360"/>
            <wp:docPr id="100005" name="" descr="西南医科大学排名全国第几是211吗怎么样?是几本有哪些王牌专业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26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6" name="" descr="澳门科技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21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8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经过DataTwin检测，本文的图4C中存在明显重复，且经过旋转处理，疑似图像操纵。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172075" cy="68865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22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https://link.springer.com/article/10.1007/s11033-022-08231-1#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85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82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60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566&amp;idx=1&amp;sn=7638ebd5e79669ef4a408f112337f1f6&amp;chksm=c3345ec57bf2826fb5397e57199b438963f5aa81c9897b44cd48ab3e7a0f43c28582263ce216&amp;scene=126&amp;sessionid=17427458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