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5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SLAP 表达降低可能通过激活 Wnt 信号传导来增强 IHCC 恶性进展。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9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根据撤稿声明，可以知道：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的图像重复。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08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9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图片重复：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13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文中所提文章：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1&amp;sn=1f3dd1316ac5d7d614222ca8806c5a8e&amp;chksm=c261ee61e496276307bc5e3b726c4bf5d76cb8e9f8f1146c4d0c9b2bb11ba248fecfd60f3024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