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南京医大第二附属医院耳鼻咽喉头颈外科</w:t>
        </w:r>
        <w:r>
          <w:rPr>
            <w:rStyle w:val="a"/>
            <w:rFonts w:ascii="Times New Roman" w:eastAsia="Times New Roman" w:hAnsi="Times New Roman" w:cs="Times New Roman"/>
            <w:b w:val="0"/>
            <w:bCs w:val="0"/>
            <w:spacing w:val="8"/>
          </w:rPr>
          <w:t>Oncol Lett</w:t>
        </w:r>
        <w:r>
          <w:rPr>
            <w:rStyle w:val="a"/>
            <w:rFonts w:ascii="PMingLiU" w:eastAsia="PMingLiU" w:hAnsi="PMingLiU" w:cs="PMingLiU"/>
            <w:b w:val="0"/>
            <w:bCs w:val="0"/>
            <w:spacing w:val="8"/>
          </w:rPr>
          <w:t>论文</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条带雷同他人撤回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2025-03-21 09:40:33</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85458"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南京医大第二附属医院耳鼻咽喉头颈外科Oncol Lett</w:t>
            </w:r>
            <w:r>
              <w:rPr>
                <w:rStyle w:val="any"/>
                <w:rFonts w:ascii="宋体" w:eastAsia="宋体" w:hAnsi="宋体" w:cs="宋体"/>
                <w:b/>
                <w:bCs/>
                <w:i w:val="0"/>
                <w:iCs w:val="0"/>
                <w:caps w:val="0"/>
                <w:smallCaps w:val="0"/>
                <w:color w:val="000000"/>
                <w:spacing w:val="8"/>
                <w:sz w:val="28"/>
                <w:szCs w:val="28"/>
              </w:rPr>
              <w:t>论文</w:t>
            </w:r>
            <w:r>
              <w:rPr>
                <w:rStyle w:val="any"/>
                <w:b/>
                <w:bCs/>
                <w:i w:val="0"/>
                <w:iCs w:val="0"/>
                <w:caps w:val="0"/>
                <w:smallCaps w:val="0"/>
                <w:color w:val="000000"/>
                <w:spacing w:val="8"/>
                <w:sz w:val="28"/>
                <w:szCs w:val="28"/>
              </w:rPr>
              <w:t>WB</w:t>
            </w:r>
            <w:r>
              <w:rPr>
                <w:rStyle w:val="any"/>
                <w:rFonts w:ascii="PMingLiU" w:eastAsia="PMingLiU" w:hAnsi="PMingLiU" w:cs="PMingLiU"/>
                <w:b/>
                <w:bCs/>
                <w:i w:val="0"/>
                <w:iCs w:val="0"/>
                <w:caps w:val="0"/>
                <w:smallCaps w:val="0"/>
                <w:color w:val="000000"/>
                <w:spacing w:val="8"/>
                <w:sz w:val="28"/>
                <w:szCs w:val="28"/>
              </w:rPr>
              <w:t>条带雷同他人撤回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Liriodenine induces the apoptosis of human laryngocarcinoma cells via the upregulation of p53 expression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鹅掌楸碱通过上调</w:t>
            </w:r>
            <w:r>
              <w:rPr>
                <w:rStyle w:val="any"/>
                <w:rFonts w:ascii="Tahoma" w:eastAsia="Tahoma" w:hAnsi="Tahoma" w:cs="Tahoma"/>
                <w:b w:val="0"/>
                <w:bCs w:val="0"/>
                <w:i w:val="0"/>
                <w:iCs w:val="0"/>
                <w:caps w:val="0"/>
                <w:smallCaps w:val="0"/>
                <w:color w:val="111111"/>
                <w:spacing w:val="8"/>
                <w:sz w:val="21"/>
                <w:szCs w:val="21"/>
              </w:rPr>
              <w:t>p53</w:t>
            </w:r>
            <w:r>
              <w:rPr>
                <w:rStyle w:val="any"/>
                <w:rFonts w:ascii="PMingLiU" w:eastAsia="PMingLiU" w:hAnsi="PMingLiU" w:cs="PMingLiU"/>
                <w:b w:val="0"/>
                <w:bCs w:val="0"/>
                <w:i w:val="0"/>
                <w:iCs w:val="0"/>
                <w:caps w:val="0"/>
                <w:smallCaps w:val="0"/>
                <w:color w:val="111111"/>
                <w:spacing w:val="8"/>
                <w:sz w:val="21"/>
                <w:szCs w:val="21"/>
              </w:rPr>
              <w:t>表达诱导人喉癌细胞凋亡</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喉癌是影响头颈部最具侵袭性的癌症之一。由于晚期转移和对化疗和放疗的抵抗，喉癌患者的存活率较低。里奥丹碱是一种从多种植物中提取的生物碱，已证明对多种类型的癌症具有抗肿瘤作用。然而，鹅掌楸碱对喉癌的影响及其潜在机制尚未阐明。因此，本研究探讨了鹅掌楸碱对体外培养的HEp-2人喉癌细胞和体内植入HEp-2的裸鼠的潜在抗肿瘤作用。鹅掌楸碱诱导HEp-2细胞显著凋亡并抑制细胞迁移。此外，注射鹅掌楸碱可以抑制HEp-2植入裸鼠的肿瘤生长速度。鹅掌楸碱抗肿瘤作用的潜在机制可能是对p53表达的上调作用，最终诱导细胞凋亡。相比之下，p53的下调显著降低了鹅掌楸碱的抗肿瘤作用。总之，这些结果表明，鹅掌楸碱通过上调p53表达，在体外和体内对喉癌HEp-2细胞表现出强大的抗肿瘤活性。因此，鹅掌楸碱可能是治疗喉癌的一种潜在疗法。</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w:t>
            </w:r>
            <w:r>
              <w:rPr>
                <w:rStyle w:val="any"/>
                <w:rFonts w:ascii="PMingLiU" w:eastAsia="PMingLiU" w:hAnsi="PMingLiU" w:cs="PMingLiU"/>
                <w:b w:val="0"/>
                <w:bCs w:val="0"/>
                <w:i w:val="0"/>
                <w:iCs w:val="0"/>
                <w:caps w:val="0"/>
                <w:smallCaps w:val="0"/>
                <w:color w:val="000000"/>
                <w:spacing w:val="8"/>
                <w:sz w:val="21"/>
                <w:szCs w:val="21"/>
              </w:rPr>
              <w:t>南京医科大学第二附属医院耳鼻咽喉头颈外科，江苏南京</w:t>
            </w:r>
            <w:r>
              <w:rPr>
                <w:rStyle w:val="any"/>
                <w:b w:val="0"/>
                <w:bCs w:val="0"/>
                <w:i w:val="0"/>
                <w:iCs w:val="0"/>
                <w:caps w:val="0"/>
                <w:smallCaps w:val="0"/>
                <w:color w:val="000000"/>
                <w:spacing w:val="8"/>
                <w:sz w:val="21"/>
                <w:szCs w:val="21"/>
              </w:rPr>
              <w:t>210011</w:t>
            </w:r>
            <w:r>
              <w:rPr>
                <w:rStyle w:val="any"/>
                <w:rFonts w:ascii="PMingLiU" w:eastAsia="PMingLiU" w:hAnsi="PMingLiU" w:cs="PMingLiU"/>
                <w:b w:val="0"/>
                <w:bCs w:val="0"/>
                <w:i w:val="0"/>
                <w:iCs w:val="0"/>
                <w:caps w:val="0"/>
                <w:smallCaps w:val="0"/>
                <w:color w:val="000000"/>
                <w:spacing w:val="8"/>
                <w:sz w:val="21"/>
                <w:szCs w:val="21"/>
              </w:rPr>
              <w:t>；山西医科大学第一医院耳鼻咽喉头颈外科，山西太原</w:t>
            </w:r>
            <w:r>
              <w:rPr>
                <w:rStyle w:val="any"/>
                <w:b w:val="0"/>
                <w:bCs w:val="0"/>
                <w:i w:val="0"/>
                <w:iCs w:val="0"/>
                <w:caps w:val="0"/>
                <w:smallCaps w:val="0"/>
                <w:color w:val="000000"/>
                <w:spacing w:val="8"/>
                <w:sz w:val="21"/>
                <w:szCs w:val="21"/>
              </w:rPr>
              <w:t>030001</w:t>
            </w:r>
            <w:r>
              <w:rPr>
                <w:rStyle w:val="any"/>
                <w:rFonts w:ascii="PMingLiU" w:eastAsia="PMingLiU" w:hAnsi="PMingLiU" w:cs="PMingLiU"/>
                <w:b w:val="0"/>
                <w:bCs w:val="0"/>
                <w:i w:val="0"/>
                <w:iCs w:val="0"/>
                <w:caps w:val="0"/>
                <w:smallCaps w:val="0"/>
                <w:color w:val="00000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2</w:t>
            </w:r>
            <w:r>
              <w:rPr>
                <w:rStyle w:val="any"/>
                <w:rFonts w:ascii="PMingLiU" w:eastAsia="PMingLiU" w:hAnsi="PMingLiU" w:cs="PMingLiU"/>
                <w:b w:val="0"/>
                <w:bCs w:val="0"/>
                <w:i w:val="0"/>
                <w:iCs w:val="0"/>
                <w:caps w:val="0"/>
                <w:smallCaps w:val="0"/>
                <w:color w:val="000000"/>
                <w:spacing w:val="8"/>
                <w:sz w:val="21"/>
                <w:szCs w:val="21"/>
              </w:rPr>
              <w:t>山西医科大学第一医院耳鼻咽喉头颈外科，山西太原</w:t>
            </w:r>
            <w:r>
              <w:rPr>
                <w:rStyle w:val="any"/>
                <w:b w:val="0"/>
                <w:bCs w:val="0"/>
                <w:i w:val="0"/>
                <w:iCs w:val="0"/>
                <w:caps w:val="0"/>
                <w:smallCaps w:val="0"/>
                <w:color w:val="000000"/>
                <w:spacing w:val="8"/>
                <w:sz w:val="21"/>
                <w:szCs w:val="21"/>
              </w:rPr>
              <w:t>030001</w:t>
            </w:r>
            <w:r>
              <w:rPr>
                <w:rStyle w:val="any"/>
                <w:rFonts w:ascii="PMingLiU" w:eastAsia="PMingLiU" w:hAnsi="PMingLiU" w:cs="PMingLiU"/>
                <w:b w:val="0"/>
                <w:bCs w:val="0"/>
                <w:i w:val="0"/>
                <w:iCs w:val="0"/>
                <w:caps w:val="0"/>
                <w:smallCaps w:val="0"/>
                <w:color w:val="000000"/>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Oncol Lett</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WB</w:t>
            </w:r>
            <w:r>
              <w:rPr>
                <w:rStyle w:val="any"/>
                <w:rFonts w:ascii="PMingLiU" w:eastAsia="PMingLiU" w:hAnsi="PMingLiU" w:cs="PMingLiU"/>
                <w:b w:val="0"/>
                <w:bCs w:val="0"/>
                <w:i w:val="0"/>
                <w:iCs w:val="0"/>
                <w:caps w:val="0"/>
                <w:smallCaps w:val="0"/>
                <w:color w:val="000000"/>
                <w:spacing w:val="8"/>
                <w:sz w:val="21"/>
                <w:szCs w:val="21"/>
              </w:rPr>
              <w:t>条带雷同他人</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本文发表后，一位关心的读者提请编辑注意，第1125页图3B中显然展示了相同的数据面板，以显示不同实验的结果，第1123页图1E中显示的蛋白质印迹数据随后出现在不同研究机构不同作者撰写的不同研究文章的后期。这促使编辑部对论文中的数据进行了独立分析，结果显示，图1C中的TUNEL检测数据和上述某些蛋白质印迹数据与不同研究机构的不同作者撰写的其他文章中以不同形式出现的数据惊人地相似，这些文章要么在本文提交给《肿瘤学快报》之前已经在其他地方发表，要么大约在同一时间考虑发表。鉴于上述某些数据显然已经发表过，《肿瘤学快报》编辑决定从该杂志上撤回这篇论文。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0647" cy="145418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7680" name=""/>
                          <pic:cNvPicPr>
                            <a:picLocks noChangeAspect="1"/>
                          </pic:cNvPicPr>
                        </pic:nvPicPr>
                        <pic:blipFill>
                          <a:blip xmlns:r="http://schemas.openxmlformats.org/officeDocument/2006/relationships" r:embed="rId7"/>
                          <a:stretch>
                            <a:fillRect/>
                          </a:stretch>
                        </pic:blipFill>
                        <pic:spPr>
                          <a:xfrm>
                            <a:off x="0" y="0"/>
                            <a:ext cx="3650647" cy="14541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17437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55796" name=""/>
                          <pic:cNvPicPr>
                            <a:picLocks noChangeAspect="1"/>
                          </pic:cNvPicPr>
                        </pic:nvPicPr>
                        <pic:blipFill>
                          <a:blip xmlns:r="http://schemas.openxmlformats.org/officeDocument/2006/relationships" r:embed="rId8"/>
                          <a:stretch>
                            <a:fillRect/>
                          </a:stretch>
                        </pic:blipFill>
                        <pic:spPr>
                          <a:xfrm>
                            <a:off x="0" y="0"/>
                            <a:ext cx="3655791" cy="1743742"/>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25285"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67024" name=""/>
                    <pic:cNvPicPr>
                      <a:picLocks noChangeAspect="1"/>
                    </pic:cNvPicPr>
                  </pic:nvPicPr>
                  <pic:blipFill>
                    <a:blip xmlns:r="http://schemas.openxmlformats.org/officeDocument/2006/relationships" r:embed="rId10"/>
                    <a:stretch>
                      <a:fillRect/>
                    </a:stretch>
                  </pic:blipFill>
                  <pic:spPr>
                    <a:xfrm>
                      <a:off x="0" y="0"/>
                      <a:ext cx="4063460" cy="25076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33012"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986&amp;idx=1&amp;sn=a1e0a2ac9ed813101a3772c536ab0d6f&amp;chksm=c06d36c6cee3ea2af04c29dd1efe47ec28a058402f1ee1edf0be94e8a2d84716832b61007c17&amp;scene=126&amp;sessionid=174274662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