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6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52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3c0b21ed7586be19de303ca41e6e233bb3f27025224e14430215924fdec8d09d870663a730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