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同期刊同一年发表，两篇（论文标题也有点意思）不同机构论文多处面板重叠，涉及东南大学医学院中大医院、南京大学、伊犁师范大学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16:28:40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Tailor-made PL-UC-C3 nanoparticles 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for fluorescence/computed tomography imaging-guided cascade amplified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 photothermal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东南大学医学院中大医院&amp;南京大学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发表时间：2018年11月19日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10.2147/IJN.S188169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63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98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112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45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81572109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Tailor-made PEG-DA-CuS nanoparticles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 enriched in tumor with the aid of retro Diels-Alder reaction triggered by their intrinsic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 photothermal property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伊犁师范大学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发表时间：2018年7月23日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10.2147/IJN.S169189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8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84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63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56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21764015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11464047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31360613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）、自治区青年科技创新人才培养项目（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QN2016YX0504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）以及伊犁师范学院校级重点项目（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2016WNZD02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2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19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中部分小鼠看起来过于相似。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197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56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包含一处意外相似的图像面板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62152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28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https://www.dovepress.com/tailor-made-pl-uc-c3-nanoparticles-for-fluorescencecomputed-tomography-peer-reviewed-fulltext-article-IJN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https://www.dovepress.com/tailor-made-peg-da-cus-nanoparticles-enriched-in-tumor-with-the-aid-of-peer-reviewed-fulltext-article-IJN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940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3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42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68&amp;idx=1&amp;sn=1304a38c282305e5f6cfd2fb441ca5e2&amp;chksm=c244bac299d13ce837f8b378e2d10ef63caa64aac54d9d036bafb1f623f6d1f79721f04379cc&amp;scene=126&amp;sessionid=17427463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