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多图面板重复，上海第十人民医院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武汉同济医院的论文被质疑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10:44:55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NR1B2 suppress kidney renal clear cell carcinoma (KIRC) progression by regulation of LATS 1/2-YAP signaling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Experimental and Clinical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上海市同济大学附属第十人民医院&amp;华中科技大学同济医学院附属同济医院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发表时间：2019年8月7日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10.1186/s13046-019-1344-3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493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25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19437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752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这项工作得到了中国国家自然科学基金（资助号：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31670772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81870517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81500534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）、上海市自然科学基金（资助号：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18140900302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）、中国高等教育博士学位授权点专项科研基金（编号：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20130142120072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）以及华中科技大学创新基金（编号：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1802030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共存在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836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939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969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353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8952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94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9238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6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https://jeccr.biomedcentral.com/articles/10.1186/s13046-019-1344-3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52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14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921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413&amp;idx=3&amp;sn=59bf8770808e3dc6ce6ebea588e13b4c&amp;chksm=c2d8bce2abf176f4c067952288e23c8245d094161c300ae1d9385952d0a4efcc892166810dc7&amp;scene=126&amp;sessionid=17427463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