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39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85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2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39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71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32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54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7e52e55ecfe8a34e9584fa37d31ff6249b4603e8e4c03b5c603780983dcf19fa2c3e9a7828&amp;scene=126&amp;sessionid=17426637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