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震惊！自媒体人曝光科研造假，论文竟现图表颠倒、图片伪造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14:35:28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881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2021 年 7 月 14 日，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自媒体人 Leonid Schneider 发文揭露科研造假事件。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印度孟买理工学院生物工程教授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Rohit Srivastava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 与美国德州农工大学 生物医学工程系主任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Mike McShane 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合作的两篇论文存在严重问题。这两篇论文分别于 2011 年发表，一篇发表在《糖尿病科学与技术杂志》（Journal of Diabetes Science and Technology ），另一篇发表在《国际药学杂志》（International Journal of Pharmaceutics）。网友 Erica glumiflora 指出，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两篇论文在文字和图表上有显著重叠，部分图片完全相同，甚至有图片代表的时间被颠倒，还有一张图片被指完全伪造。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4843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284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3364224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13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422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29451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899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8401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1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2491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861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当 Leonid Schneider 向 McShane 和 Srivastava 询问时，Srivastava 回应称两名同时在实验室做博士研究的学生，分别负责葡萄糖传感和药物递送部分，虽系统相似但论文重点不同，所有实验均在实验室进行，数据也源于实验。但实际上，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其中一名学生 Rahul Dev Jayant 曾因学术不端行为被美国卫生与公众服务部研究诚信办公室（HHS - ORI）认定有罪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。2020 年 8 月的报告显示，Jayant 在多项美国国立卫生研究院（NIH）基金申请中存在故意抄袭、伪造和篡改数据的行为。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17882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68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7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2022 年 4 月 5 日，Leonid Schneider 再次发文提及此事，Srivastava 对克隆粒子问题解释称，微球因受控制造过程而看似几乎相同，图像不一致是手稿格式调整时的无意错误，不影响结果完整性。而 Srivastava 还在 2024 年 8 月荣获印度政府颁发的 “Rashtriya Vigyan Puraskar – Vigyan Shri” 奖。此科研造假事件引发公众对学术诚信的关注，如此造假行为未得到应有惩处，却让涉事人员仍获荣誉，严重损害了学术环境的公正性和纯洁性。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http://dx.doi.org/10.1177/193229681100500111</w:t>
      </w:r>
    </w:p>
    <w:p>
      <w:pPr>
        <w:widowControl/>
        <w:shd w:val="clear" w:color="auto" w:fill="7ACCC8"/>
        <w:spacing w:before="240" w:after="240" w:line="336" w:lineRule="atLeast"/>
        <w:ind w:left="870" w:right="87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0"/>
          <w:szCs w:val="20"/>
          <w:u w:val="none"/>
        </w:rPr>
        <w:drawing>
          <wp:inline>
            <wp:extent cx="160104" cy="238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853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10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  <w:t>             </w:t>
      </w:r>
    </w:p>
    <w:p>
      <w:pPr>
        <w:widowControl/>
        <w:shd w:val="clear" w:color="auto" w:fill="7ACCC8"/>
        <w:spacing w:before="0" w:after="240" w:line="336" w:lineRule="atLeast"/>
        <w:ind w:left="870" w:right="87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  <w:t>                 1 comment on PubPeer (by: Erica Glumiflora)               </w:t>
      </w:r>
    </w:p>
    <w:p>
      <w:pPr>
        <w:widowControl/>
        <w:shd w:val="clear" w:color="auto" w:fill="7ACCC8"/>
        <w:spacing w:before="240" w:after="240" w:line="336" w:lineRule="atLeast"/>
        <w:ind w:left="870" w:right="87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0"/>
          <w:szCs w:val="20"/>
          <w:u w:val="none"/>
        </w:rPr>
        <w:drawing>
          <wp:inline>
            <wp:extent cx="160104" cy="23812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87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10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  <w:t>             </w:t>
      </w:r>
    </w:p>
    <w:p>
      <w:pPr>
        <w:widowControl/>
        <w:shd w:val="clear" w:color="auto" w:fill="7ACCC8"/>
        <w:spacing w:before="0" w:after="240" w:line="336" w:lineRule="atLeast"/>
        <w:ind w:left="870" w:right="87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  <w:t>                 1 comment on PubPeer (by: Erica Glumiflora)               </w:t>
      </w:r>
    </w:p>
    <w:p>
      <w:pPr>
        <w:widowControl/>
        <w:shd w:val="clear" w:color="auto" w:fill="7ACCC8"/>
        <w:spacing w:before="240" w:after="240" w:line="336" w:lineRule="atLeast"/>
        <w:ind w:left="870" w:right="87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0"/>
          <w:szCs w:val="20"/>
          <w:u w:val="none"/>
        </w:rPr>
        <w:drawing>
          <wp:inline>
            <wp:extent cx="160104" cy="23812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26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10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  <w:t>             </w:t>
      </w:r>
    </w:p>
    <w:p>
      <w:pPr>
        <w:widowControl/>
        <w:shd w:val="clear" w:color="auto" w:fill="7ACCC8"/>
        <w:spacing w:before="0" w:after="240" w:line="336" w:lineRule="atLeast"/>
        <w:ind w:left="870" w:right="87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  <w:t>                 1 comment on PubPeer (by: Erica Glumiflora)               </w:t>
      </w:r>
    </w:p>
    <w:p>
      <w:pPr>
        <w:widowControl/>
        <w:shd w:val="clear" w:color="auto" w:fill="7ACCC8"/>
        <w:spacing w:before="240" w:after="240" w:line="336" w:lineRule="atLeast"/>
        <w:ind w:left="870" w:right="87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0"/>
          <w:szCs w:val="20"/>
          <w:u w:val="none"/>
        </w:rPr>
        <w:drawing>
          <wp:inline>
            <wp:extent cx="160104" cy="2381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80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10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  <w:t>             </w:t>
      </w:r>
    </w:p>
    <w:p>
      <w:pPr>
        <w:widowControl/>
        <w:shd w:val="clear" w:color="auto" w:fill="7ACCC8"/>
        <w:spacing w:before="0" w:after="240" w:line="336" w:lineRule="atLeast"/>
        <w:ind w:left="870" w:right="87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  <w:t>                 1 comment on PubPeer (by: Erica Glumiflora)               </w:t>
      </w:r>
    </w:p>
    <w:p>
      <w:pPr>
        <w:widowControl/>
        <w:shd w:val="clear" w:color="auto" w:fill="7ACCC8"/>
        <w:spacing w:before="240" w:after="240" w:line="336" w:lineRule="atLeast"/>
        <w:ind w:left="870" w:right="87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0"/>
          <w:szCs w:val="20"/>
          <w:u w:val="none"/>
        </w:rPr>
        <w:drawing>
          <wp:inline>
            <wp:extent cx="160104" cy="23812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36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10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  <w:t>             </w:t>
      </w:r>
    </w:p>
    <w:p>
      <w:pPr>
        <w:widowControl/>
        <w:shd w:val="clear" w:color="auto" w:fill="7ACCC8"/>
        <w:spacing w:before="0" w:after="240" w:line="336" w:lineRule="atLeast"/>
        <w:ind w:left="870" w:right="87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  <w:t>                 1 comment on PubPeer (by: Erica Glumiflora)               </w:t>
      </w:r>
    </w:p>
    <w:p>
      <w:pPr>
        <w:widowControl/>
        <w:shd w:val="clear" w:color="auto" w:fill="7ACCC8"/>
        <w:spacing w:before="240" w:after="240" w:line="336" w:lineRule="atLeast"/>
        <w:ind w:left="870" w:right="87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0"/>
          <w:szCs w:val="20"/>
          <w:u w:val="none"/>
        </w:rPr>
        <w:drawing>
          <wp:inline>
            <wp:extent cx="160104" cy="23812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7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10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  <w:t>             </w:t>
      </w:r>
    </w:p>
    <w:p>
      <w:pPr>
        <w:widowControl/>
        <w:shd w:val="clear" w:color="auto" w:fill="7ACCC8"/>
        <w:spacing w:before="0" w:after="240" w:line="336" w:lineRule="atLeast"/>
        <w:ind w:left="870" w:right="87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  <w:t>                 1 comment on PubPeer (by: Erica Glumiflora)               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https://linkinghub.elsevier.com/retrieve/pii/S0378517310008100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70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emf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279&amp;idx=1&amp;sn=8f76f03efa43063b0172f730ec407fe1&amp;chksm=c20ad10b226de8635ec975071a6e2fd1f6c19c61eadf1ae25a520fabd0c36728f52a54f2a2a8&amp;scene=126&amp;sessionid=17426636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