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7911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8732"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769"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77223"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934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4216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3741f58aec4365655160705d1096e5ba4be00e212cc831540d84d4350ed8881ec0a73b4ac8&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