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发现多幅图像与先前文献相似，广州医科大学附属第三医院张平的论文被撤稿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35414033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53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23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55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2022年4月12日，广州医科大学附属第三医院骨科在Journal of Orthopaedic Surgery and Research（中科院三区 IF=2.8）期刊上在线发表题为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"High-mobility group box chromosomal protein-1 deletion alleviates osteoporosis in OVX rat model via suppressing the osteoclastogenesis and inflammation"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(通过抑制破骨细胞生成和炎症，缺失高迁移率组染色体盒蛋白-1可减轻卵巢切除大鼠模型的骨质疏松症)论文。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Haotao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Ping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本研究得到了广东省科技发展专项基金（项目编号：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2017ZC0255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96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30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广州医科大学附属第三医院_在线专家问诊_看病住院_怎么样_地址_就诊攻略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79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38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4F from "SIRT6 promotes ferroptosis and attenuates glycolysis in pancreatic cancer through regulation of the NF-κB pathway" (Gong et al 2022).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5I.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564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49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055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96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'Sham' panels also overlap after a rotation.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3238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12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7133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52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29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https://pubpeer.com/publications/9FE8B934B50803F43182EA46E66689#7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https://pubmed.ncbi.nlm.nih.gov/35414033/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https://josr-online.biomedcentral.com/articles/10.1186/s13018-025-05623-4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10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6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90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2&amp;sn=3e83879b35005edd1838823f73357f8e&amp;chksm=c354d8a30e16217399ef93596b08f3e7cfd62de4c58950cfa7fc1da0ea7392833f31426f18d6&amp;scene=126&amp;sessionid=17426627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