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兰州大学第一医院麻醉科主任国自然资助论文陷入争议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22:20:37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057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94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2023年，来自兰州大学第一医院麻醉科的 Zhanhai Wan , Yan Zhang , Jipeng Lv , Yuan Yuan , Wenwen Guo , Yufang Leng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Bioengineered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Exosomes derived from bone marrow mesenchymal stem cells regulate pyroptosis via the miR-143-3p/myeloid differentiation factor 88 axis to ameliorate intestinal ischemia-reperfusion injury 的论文。该工作得到了中国国家自然科学基金（项目编号 81960345）、甘肃省自然科学基金（项目编号 21JR11RA097）以及兰州大学第一医院基金（项目编号 ldyyyn2020 - 18）的支持。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4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8115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3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10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https://pubpeer.org/publications/C56F3529F7DEB4B0496952CDCE25B7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21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489&amp;idx=1&amp;sn=0d56feb0fd743f03df62d1507d594ca8&amp;chksm=c2f8639c0e1cc6da02497b9dcda252f1bad78898e287199e0caf7b9f1b3ec8fe0e8801aa335f&amp;scene=126&amp;sessionid=17426627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